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108" w:type="dxa"/>
        <w:tblLayout w:type="fixed"/>
        <w:tblLook w:val="04A0" w:firstRow="1" w:lastRow="0" w:firstColumn="1" w:lastColumn="0" w:noHBand="0" w:noVBand="1"/>
      </w:tblPr>
      <w:tblGrid>
        <w:gridCol w:w="10"/>
        <w:gridCol w:w="426"/>
        <w:gridCol w:w="1974"/>
        <w:gridCol w:w="28"/>
        <w:gridCol w:w="6918"/>
        <w:gridCol w:w="34"/>
      </w:tblGrid>
      <w:tr w:rsidR="002B5084" w:rsidRPr="00E926D6" w14:paraId="36D3EFD9" w14:textId="77777777" w:rsidTr="00687AF7">
        <w:trPr>
          <w:gridAfter w:val="1"/>
          <w:wAfter w:w="34" w:type="dxa"/>
        </w:trPr>
        <w:tc>
          <w:tcPr>
            <w:tcW w:w="2438" w:type="dxa"/>
            <w:gridSpan w:val="4"/>
            <w:shd w:val="clear" w:color="auto" w:fill="auto"/>
          </w:tcPr>
          <w:p w14:paraId="12AA5C0A" w14:textId="77777777" w:rsidR="00F445B1" w:rsidRPr="00E926D6" w:rsidRDefault="00F445B1" w:rsidP="004A6D2F">
            <w:pPr>
              <w:rPr>
                <w:rStyle w:val="Firstpagetablebold"/>
                <w:rFonts w:cs="Arial"/>
                <w:color w:val="auto"/>
              </w:rPr>
            </w:pPr>
            <w:r w:rsidRPr="00E926D6">
              <w:rPr>
                <w:rStyle w:val="Firstpagetablebold"/>
                <w:rFonts w:cs="Arial"/>
                <w:color w:val="auto"/>
              </w:rPr>
              <w:t>To</w:t>
            </w:r>
            <w:r w:rsidR="005C35A5" w:rsidRPr="00E926D6">
              <w:rPr>
                <w:rStyle w:val="Firstpagetablebold"/>
                <w:rFonts w:cs="Arial"/>
                <w:color w:val="auto"/>
              </w:rPr>
              <w:t>:</w:t>
            </w:r>
          </w:p>
        </w:tc>
        <w:tc>
          <w:tcPr>
            <w:tcW w:w="6918" w:type="dxa"/>
            <w:shd w:val="clear" w:color="auto" w:fill="auto"/>
          </w:tcPr>
          <w:p w14:paraId="2C999C6A" w14:textId="77777777" w:rsidR="00F445B1" w:rsidRPr="00E926D6" w:rsidRDefault="00613A1F" w:rsidP="00475860">
            <w:pPr>
              <w:rPr>
                <w:rStyle w:val="Firstpagetablebold"/>
                <w:rFonts w:cs="Arial"/>
                <w:color w:val="auto"/>
              </w:rPr>
            </w:pPr>
            <w:r>
              <w:rPr>
                <w:rStyle w:val="Firstpagetablebold"/>
                <w:rFonts w:cs="Arial"/>
                <w:color w:val="auto"/>
              </w:rPr>
              <w:t xml:space="preserve">Executive Director for </w:t>
            </w:r>
            <w:r w:rsidR="00BD0299">
              <w:rPr>
                <w:rStyle w:val="Firstpagetablebold"/>
                <w:rFonts w:cs="Arial"/>
                <w:color w:val="auto"/>
              </w:rPr>
              <w:t>Communities and People</w:t>
            </w:r>
          </w:p>
          <w:p w14:paraId="1C124B81" w14:textId="77777777" w:rsidR="00D75777" w:rsidRPr="00E926D6" w:rsidRDefault="00D75777" w:rsidP="00475860">
            <w:pPr>
              <w:rPr>
                <w:rStyle w:val="Firstpagetablebold"/>
                <w:rFonts w:cs="Arial"/>
                <w:color w:val="auto"/>
              </w:rPr>
            </w:pPr>
            <w:r w:rsidRPr="00E926D6">
              <w:rPr>
                <w:rStyle w:val="Firstpagetablebold"/>
                <w:rFonts w:cs="Arial"/>
                <w:color w:val="auto"/>
              </w:rPr>
              <w:t>Head of Finance</w:t>
            </w:r>
          </w:p>
          <w:p w14:paraId="04E741CC" w14:textId="77777777" w:rsidR="005177DE" w:rsidRPr="00E926D6" w:rsidRDefault="005177DE" w:rsidP="00475860">
            <w:pPr>
              <w:rPr>
                <w:rStyle w:val="Firstpagetablebold"/>
                <w:rFonts w:cs="Arial"/>
                <w:color w:val="auto"/>
              </w:rPr>
            </w:pPr>
            <w:r w:rsidRPr="00E926D6">
              <w:rPr>
                <w:rStyle w:val="Firstpagetablebold"/>
                <w:rFonts w:cs="Arial"/>
                <w:color w:val="auto"/>
              </w:rPr>
              <w:t xml:space="preserve">Head of </w:t>
            </w:r>
            <w:r w:rsidR="00D75777" w:rsidRPr="00E926D6">
              <w:rPr>
                <w:rStyle w:val="Firstpagetablebold"/>
                <w:rFonts w:cs="Arial"/>
                <w:color w:val="auto"/>
              </w:rPr>
              <w:t>Law &amp; Governance</w:t>
            </w:r>
          </w:p>
        </w:tc>
      </w:tr>
      <w:tr w:rsidR="002B5084" w:rsidRPr="00E926D6" w14:paraId="02BB4C93" w14:textId="77777777" w:rsidTr="00687AF7">
        <w:trPr>
          <w:gridAfter w:val="1"/>
          <w:wAfter w:w="34" w:type="dxa"/>
        </w:trPr>
        <w:tc>
          <w:tcPr>
            <w:tcW w:w="2438" w:type="dxa"/>
            <w:gridSpan w:val="4"/>
            <w:shd w:val="clear" w:color="auto" w:fill="auto"/>
          </w:tcPr>
          <w:p w14:paraId="7BA52F45" w14:textId="77777777" w:rsidR="00F445B1" w:rsidRPr="00E926D6" w:rsidRDefault="00F445B1" w:rsidP="004A6D2F">
            <w:pPr>
              <w:rPr>
                <w:rStyle w:val="Firstpagetablebold"/>
                <w:rFonts w:cs="Arial"/>
                <w:color w:val="auto"/>
              </w:rPr>
            </w:pPr>
            <w:r w:rsidRPr="00E926D6">
              <w:rPr>
                <w:rStyle w:val="Firstpagetablebold"/>
                <w:rFonts w:cs="Arial"/>
                <w:color w:val="auto"/>
              </w:rPr>
              <w:t>Dat</w:t>
            </w:r>
            <w:r w:rsidR="005C35A5" w:rsidRPr="00E926D6">
              <w:rPr>
                <w:rStyle w:val="Firstpagetablebold"/>
                <w:rFonts w:cs="Arial"/>
                <w:color w:val="auto"/>
              </w:rPr>
              <w:t>e:</w:t>
            </w:r>
          </w:p>
        </w:tc>
        <w:tc>
          <w:tcPr>
            <w:tcW w:w="6918" w:type="dxa"/>
            <w:shd w:val="clear" w:color="auto" w:fill="auto"/>
          </w:tcPr>
          <w:p w14:paraId="0B13694C" w14:textId="440776A5" w:rsidR="00F445B1" w:rsidRPr="00E926D6" w:rsidRDefault="00D44916" w:rsidP="00146643">
            <w:pPr>
              <w:rPr>
                <w:rFonts w:cs="Arial"/>
                <w:b/>
                <w:color w:val="auto"/>
              </w:rPr>
            </w:pPr>
            <w:r>
              <w:rPr>
                <w:rFonts w:cs="Arial"/>
                <w:b/>
                <w:color w:val="auto"/>
              </w:rPr>
              <w:t>21</w:t>
            </w:r>
            <w:r w:rsidRPr="00D44916">
              <w:rPr>
                <w:rFonts w:cs="Arial"/>
                <w:b/>
                <w:color w:val="auto"/>
                <w:vertAlign w:val="superscript"/>
              </w:rPr>
              <w:t>st</w:t>
            </w:r>
            <w:r>
              <w:rPr>
                <w:rFonts w:cs="Arial"/>
                <w:b/>
                <w:color w:val="auto"/>
              </w:rPr>
              <w:t xml:space="preserve"> March 2022</w:t>
            </w:r>
          </w:p>
        </w:tc>
      </w:tr>
      <w:tr w:rsidR="002B5084" w:rsidRPr="00E926D6" w14:paraId="0E7D9BA5" w14:textId="77777777" w:rsidTr="00687AF7">
        <w:trPr>
          <w:gridAfter w:val="1"/>
          <w:wAfter w:w="34" w:type="dxa"/>
        </w:trPr>
        <w:tc>
          <w:tcPr>
            <w:tcW w:w="2438" w:type="dxa"/>
            <w:gridSpan w:val="4"/>
            <w:shd w:val="clear" w:color="auto" w:fill="auto"/>
          </w:tcPr>
          <w:p w14:paraId="66754D36" w14:textId="77777777" w:rsidR="00F445B1" w:rsidRPr="00E926D6" w:rsidRDefault="00F445B1" w:rsidP="004A6D2F">
            <w:pPr>
              <w:rPr>
                <w:rStyle w:val="Firstpagetablebold"/>
                <w:rFonts w:cs="Arial"/>
                <w:color w:val="auto"/>
              </w:rPr>
            </w:pPr>
            <w:r w:rsidRPr="00E926D6">
              <w:rPr>
                <w:rStyle w:val="Firstpagetablebold"/>
                <w:rFonts w:cs="Arial"/>
                <w:color w:val="auto"/>
              </w:rPr>
              <w:t>Report of</w:t>
            </w:r>
            <w:r w:rsidR="005C35A5" w:rsidRPr="00E926D6">
              <w:rPr>
                <w:rStyle w:val="Firstpagetablebold"/>
                <w:rFonts w:cs="Arial"/>
                <w:color w:val="auto"/>
              </w:rPr>
              <w:t>:</w:t>
            </w:r>
          </w:p>
        </w:tc>
        <w:tc>
          <w:tcPr>
            <w:tcW w:w="6918" w:type="dxa"/>
            <w:shd w:val="clear" w:color="auto" w:fill="auto"/>
          </w:tcPr>
          <w:p w14:paraId="3D1FF819" w14:textId="0304272B" w:rsidR="00F445B1" w:rsidRPr="00E926D6" w:rsidRDefault="00D44916" w:rsidP="004711FC">
            <w:pPr>
              <w:rPr>
                <w:rStyle w:val="Firstpagetablebold"/>
                <w:rFonts w:cs="Arial"/>
                <w:b w:val="0"/>
                <w:color w:val="auto"/>
              </w:rPr>
            </w:pPr>
            <w:r>
              <w:rPr>
                <w:rFonts w:cs="Arial"/>
                <w:b/>
              </w:rPr>
              <w:t>Allison Dalton – Housing Development Officer</w:t>
            </w:r>
          </w:p>
        </w:tc>
      </w:tr>
      <w:tr w:rsidR="00CE544A" w:rsidRPr="00E926D6" w14:paraId="0AB516A1" w14:textId="77777777" w:rsidTr="00687AF7">
        <w:trPr>
          <w:gridAfter w:val="1"/>
          <w:wAfter w:w="34" w:type="dxa"/>
          <w:trHeight w:val="60"/>
        </w:trPr>
        <w:tc>
          <w:tcPr>
            <w:tcW w:w="2438" w:type="dxa"/>
            <w:gridSpan w:val="4"/>
            <w:shd w:val="clear" w:color="auto" w:fill="auto"/>
          </w:tcPr>
          <w:p w14:paraId="03C8C424" w14:textId="77777777" w:rsidR="00F445B1" w:rsidRPr="00E926D6" w:rsidRDefault="00F445B1" w:rsidP="004A6D2F">
            <w:pPr>
              <w:rPr>
                <w:rStyle w:val="Firstpagetablebold"/>
                <w:rFonts w:cs="Arial"/>
                <w:color w:val="auto"/>
              </w:rPr>
            </w:pPr>
            <w:r w:rsidRPr="00E926D6">
              <w:rPr>
                <w:rStyle w:val="Firstpagetablebold"/>
                <w:rFonts w:cs="Arial"/>
                <w:color w:val="auto"/>
              </w:rPr>
              <w:t xml:space="preserve">Title of Report: </w:t>
            </w:r>
          </w:p>
        </w:tc>
        <w:tc>
          <w:tcPr>
            <w:tcW w:w="6918" w:type="dxa"/>
            <w:shd w:val="clear" w:color="auto" w:fill="auto"/>
          </w:tcPr>
          <w:p w14:paraId="48193939" w14:textId="77777777" w:rsidR="00F445B1" w:rsidRPr="00E926D6" w:rsidRDefault="00F43E44" w:rsidP="00F605B4">
            <w:pPr>
              <w:rPr>
                <w:rStyle w:val="Firstpagetablebold"/>
                <w:rFonts w:cs="Arial"/>
                <w:color w:val="auto"/>
              </w:rPr>
            </w:pPr>
            <w:r w:rsidRPr="00E926D6">
              <w:rPr>
                <w:rStyle w:val="Firstpagetablebold"/>
                <w:rFonts w:cs="Arial"/>
                <w:color w:val="auto"/>
              </w:rPr>
              <w:t xml:space="preserve">Purchase of completed development </w:t>
            </w:r>
            <w:r w:rsidR="002D5217" w:rsidRPr="00E926D6">
              <w:rPr>
                <w:rStyle w:val="Firstpagetablebold"/>
                <w:rFonts w:cs="Arial"/>
                <w:color w:val="auto"/>
              </w:rPr>
              <w:t xml:space="preserve">at </w:t>
            </w:r>
            <w:r w:rsidR="00F605B4">
              <w:rPr>
                <w:rStyle w:val="Firstpagetablebold"/>
                <w:rFonts w:cs="Arial"/>
                <w:color w:val="auto"/>
              </w:rPr>
              <w:t>16 Sparsey Place, Oxford.</w:t>
            </w:r>
          </w:p>
        </w:tc>
      </w:tr>
      <w:tr w:rsidR="002B5084" w:rsidRPr="00E926D6" w14:paraId="256FE36E" w14:textId="77777777"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9380" w:type="dxa"/>
            <w:gridSpan w:val="5"/>
            <w:tcBorders>
              <w:bottom w:val="single" w:sz="8" w:space="0" w:color="000000"/>
            </w:tcBorders>
            <w:hideMark/>
          </w:tcPr>
          <w:p w14:paraId="709BD60F" w14:textId="77777777" w:rsidR="00D5547E" w:rsidRPr="00E926D6" w:rsidRDefault="00745BF0" w:rsidP="00745BF0">
            <w:pPr>
              <w:jc w:val="center"/>
              <w:rPr>
                <w:rStyle w:val="Firstpagetablebold"/>
                <w:rFonts w:cs="Arial"/>
                <w:color w:val="auto"/>
              </w:rPr>
            </w:pPr>
            <w:r w:rsidRPr="00E926D6">
              <w:rPr>
                <w:rStyle w:val="Firstpagetablebold"/>
                <w:rFonts w:cs="Arial"/>
                <w:color w:val="auto"/>
              </w:rPr>
              <w:t>Summary and r</w:t>
            </w:r>
            <w:r w:rsidR="00D5547E" w:rsidRPr="00E926D6">
              <w:rPr>
                <w:rStyle w:val="Firstpagetablebold"/>
                <w:rFonts w:cs="Arial"/>
                <w:color w:val="auto"/>
              </w:rPr>
              <w:t>ecommendations</w:t>
            </w:r>
          </w:p>
        </w:tc>
      </w:tr>
      <w:tr w:rsidR="002B5084" w:rsidRPr="00E926D6" w14:paraId="601D6AC8" w14:textId="77777777"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00" w:type="dxa"/>
            <w:gridSpan w:val="2"/>
            <w:tcBorders>
              <w:top w:val="single" w:sz="8" w:space="0" w:color="000000"/>
              <w:left w:val="single" w:sz="8" w:space="0" w:color="000000"/>
              <w:bottom w:val="nil"/>
              <w:right w:val="nil"/>
            </w:tcBorders>
            <w:hideMark/>
          </w:tcPr>
          <w:p w14:paraId="5074AEAE" w14:textId="77777777" w:rsidR="00D5547E" w:rsidRPr="00E926D6" w:rsidRDefault="00D5547E">
            <w:pPr>
              <w:rPr>
                <w:rStyle w:val="Firstpagetablebold"/>
                <w:rFonts w:cs="Arial"/>
                <w:color w:val="auto"/>
              </w:rPr>
            </w:pPr>
            <w:r w:rsidRPr="00E926D6">
              <w:rPr>
                <w:rStyle w:val="Firstpagetablebold"/>
                <w:rFonts w:cs="Arial"/>
                <w:color w:val="auto"/>
              </w:rPr>
              <w:t>Purpose of report:</w:t>
            </w:r>
          </w:p>
        </w:tc>
        <w:tc>
          <w:tcPr>
            <w:tcW w:w="6980" w:type="dxa"/>
            <w:gridSpan w:val="3"/>
            <w:tcBorders>
              <w:top w:val="single" w:sz="8" w:space="0" w:color="000000"/>
              <w:left w:val="nil"/>
              <w:bottom w:val="nil"/>
              <w:right w:val="single" w:sz="8" w:space="0" w:color="000000"/>
            </w:tcBorders>
            <w:hideMark/>
          </w:tcPr>
          <w:p w14:paraId="275E1A23" w14:textId="77777777" w:rsidR="00D5547E" w:rsidRPr="00E926D6" w:rsidRDefault="00AD1F31" w:rsidP="0083292F">
            <w:pPr>
              <w:rPr>
                <w:rFonts w:cs="Arial"/>
                <w:color w:val="FF0000"/>
              </w:rPr>
            </w:pPr>
            <w:r w:rsidRPr="00E926D6">
              <w:rPr>
                <w:rFonts w:cs="Arial"/>
                <w:color w:val="auto"/>
              </w:rPr>
              <w:t>To seek approval under the Officer Executive Decision</w:t>
            </w:r>
            <w:r w:rsidR="005177DE" w:rsidRPr="00E926D6">
              <w:rPr>
                <w:rFonts w:cs="Arial"/>
                <w:color w:val="auto"/>
              </w:rPr>
              <w:t xml:space="preserve"> delegations</w:t>
            </w:r>
            <w:r w:rsidRPr="00E926D6">
              <w:rPr>
                <w:rFonts w:cs="Arial"/>
                <w:color w:val="auto"/>
              </w:rPr>
              <w:t xml:space="preserve"> for the transfer </w:t>
            </w:r>
            <w:r w:rsidR="00144F4B" w:rsidRPr="00E926D6">
              <w:rPr>
                <w:rFonts w:cs="Arial"/>
                <w:color w:val="auto"/>
              </w:rPr>
              <w:t xml:space="preserve">by </w:t>
            </w:r>
            <w:r w:rsidR="00F43E44" w:rsidRPr="00E926D6">
              <w:rPr>
                <w:rFonts w:cs="Arial"/>
                <w:color w:val="auto"/>
              </w:rPr>
              <w:t>purchase</w:t>
            </w:r>
            <w:r w:rsidR="00144F4B" w:rsidRPr="00E926D6">
              <w:rPr>
                <w:rFonts w:cs="Arial"/>
                <w:color w:val="auto"/>
              </w:rPr>
              <w:t xml:space="preserve"> </w:t>
            </w:r>
            <w:r w:rsidRPr="00E926D6">
              <w:rPr>
                <w:rFonts w:cs="Arial"/>
                <w:color w:val="auto"/>
              </w:rPr>
              <w:t xml:space="preserve">of </w:t>
            </w:r>
            <w:r w:rsidR="000A12E2" w:rsidRPr="00E926D6">
              <w:rPr>
                <w:rStyle w:val="Firstpagetablebold"/>
                <w:rFonts w:cs="Arial"/>
                <w:b w:val="0"/>
                <w:color w:val="auto"/>
              </w:rPr>
              <w:t xml:space="preserve">the </w:t>
            </w:r>
            <w:r w:rsidR="00761325" w:rsidRPr="00E926D6">
              <w:rPr>
                <w:rFonts w:cs="Arial"/>
                <w:color w:val="auto"/>
              </w:rPr>
              <w:t xml:space="preserve">land </w:t>
            </w:r>
            <w:r w:rsidR="00F43E44" w:rsidRPr="00E926D6">
              <w:rPr>
                <w:rFonts w:cs="Arial"/>
                <w:color w:val="auto"/>
              </w:rPr>
              <w:t xml:space="preserve">and housing </w:t>
            </w:r>
            <w:r w:rsidR="00761325" w:rsidRPr="00E926D6">
              <w:rPr>
                <w:rFonts w:cs="Arial"/>
                <w:color w:val="auto"/>
              </w:rPr>
              <w:t xml:space="preserve">at </w:t>
            </w:r>
            <w:r w:rsidR="0083292F">
              <w:rPr>
                <w:rStyle w:val="Firstpagetablebold"/>
              </w:rPr>
              <w:t>16 Sparsey Place</w:t>
            </w:r>
            <w:r w:rsidR="001C47D7" w:rsidRPr="00E926D6">
              <w:rPr>
                <w:rStyle w:val="Firstpagetablebold"/>
                <w:rFonts w:cs="Arial"/>
              </w:rPr>
              <w:t>, Oxford</w:t>
            </w:r>
            <w:r w:rsidR="00006924" w:rsidRPr="00E926D6">
              <w:rPr>
                <w:rStyle w:val="Firstpagetablebold"/>
                <w:rFonts w:cs="Arial"/>
                <w:b w:val="0"/>
                <w:color w:val="auto"/>
              </w:rPr>
              <w:t xml:space="preserve"> </w:t>
            </w:r>
            <w:r w:rsidR="00F43E44" w:rsidRPr="00E926D6">
              <w:rPr>
                <w:rStyle w:val="Firstpagetablebold"/>
                <w:rFonts w:cs="Arial"/>
                <w:b w:val="0"/>
                <w:color w:val="auto"/>
              </w:rPr>
              <w:t>from</w:t>
            </w:r>
            <w:r w:rsidR="000A12E2" w:rsidRPr="00E926D6">
              <w:rPr>
                <w:rStyle w:val="Firstpagetablebold"/>
                <w:rFonts w:cs="Arial"/>
                <w:b w:val="0"/>
                <w:color w:val="auto"/>
              </w:rPr>
              <w:t xml:space="preserve"> Oxford City Housing (Development) Limited</w:t>
            </w:r>
            <w:r w:rsidRPr="00E926D6">
              <w:rPr>
                <w:rFonts w:cs="Arial"/>
                <w:color w:val="auto"/>
              </w:rPr>
              <w:t xml:space="preserve"> (OCH(</w:t>
            </w:r>
            <w:r w:rsidR="000A12E2" w:rsidRPr="00E926D6">
              <w:rPr>
                <w:rFonts w:cs="Arial"/>
                <w:color w:val="auto"/>
              </w:rPr>
              <w:t>D</w:t>
            </w:r>
            <w:r w:rsidRPr="00E926D6">
              <w:rPr>
                <w:rFonts w:cs="Arial"/>
                <w:color w:val="auto"/>
              </w:rPr>
              <w:t>)L)</w:t>
            </w:r>
            <w:r w:rsidR="00BB63F9" w:rsidRPr="00E926D6">
              <w:rPr>
                <w:rFonts w:cs="Arial"/>
                <w:color w:val="auto"/>
              </w:rPr>
              <w:t xml:space="preserve"> </w:t>
            </w:r>
            <w:r w:rsidR="007E4DE0" w:rsidRPr="00E926D6">
              <w:rPr>
                <w:rFonts w:cs="Arial"/>
                <w:color w:val="auto"/>
              </w:rPr>
              <w:t>to</w:t>
            </w:r>
            <w:r w:rsidR="00BB63F9" w:rsidRPr="00E926D6">
              <w:rPr>
                <w:rFonts w:cs="Arial"/>
                <w:color w:val="auto"/>
              </w:rPr>
              <w:t xml:space="preserve"> the Council’s Housing Revenue Account</w:t>
            </w:r>
            <w:r w:rsidR="00B11888" w:rsidRPr="00E926D6">
              <w:rPr>
                <w:rFonts w:cs="Arial"/>
                <w:color w:val="auto"/>
              </w:rPr>
              <w:t>.</w:t>
            </w:r>
            <w:r w:rsidRPr="00E926D6">
              <w:rPr>
                <w:rFonts w:cs="Arial"/>
                <w:color w:val="auto"/>
              </w:rPr>
              <w:t xml:space="preserve"> </w:t>
            </w:r>
          </w:p>
        </w:tc>
      </w:tr>
      <w:tr w:rsidR="002B5084" w:rsidRPr="00E926D6" w14:paraId="1DA3CABA" w14:textId="77777777"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9380" w:type="dxa"/>
            <w:gridSpan w:val="5"/>
            <w:tcBorders>
              <w:bottom w:val="single" w:sz="8" w:space="0" w:color="000000"/>
            </w:tcBorders>
          </w:tcPr>
          <w:p w14:paraId="63967217" w14:textId="77777777" w:rsidR="005F7F7E" w:rsidRPr="00E926D6" w:rsidRDefault="00144F4B" w:rsidP="00144F4B">
            <w:pPr>
              <w:rPr>
                <w:rFonts w:cs="Arial"/>
                <w:color w:val="auto"/>
              </w:rPr>
            </w:pPr>
            <w:r w:rsidRPr="00E926D6">
              <w:rPr>
                <w:rStyle w:val="Firstpagetablebold"/>
                <w:rFonts w:cs="Arial"/>
                <w:color w:val="auto"/>
              </w:rPr>
              <w:t xml:space="preserve">Decision required: </w:t>
            </w:r>
            <w:r w:rsidR="00C0158F" w:rsidRPr="00E926D6">
              <w:rPr>
                <w:rStyle w:val="Firstpagetablebold"/>
                <w:rFonts w:cs="Arial"/>
                <w:color w:val="auto"/>
              </w:rPr>
              <w:t xml:space="preserve"> </w:t>
            </w:r>
          </w:p>
        </w:tc>
      </w:tr>
      <w:tr w:rsidR="0030208D" w:rsidRPr="00E926D6" w14:paraId="5B9AB222" w14:textId="77777777"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8" w:space="0" w:color="000000"/>
              <w:right w:val="nil"/>
            </w:tcBorders>
          </w:tcPr>
          <w:p w14:paraId="2FA50A67" w14:textId="77777777" w:rsidR="0030208D" w:rsidRPr="00E926D6" w:rsidRDefault="00046D2B" w:rsidP="004A6D2F">
            <w:pPr>
              <w:rPr>
                <w:rFonts w:cs="Arial"/>
              </w:rPr>
            </w:pPr>
            <w:r w:rsidRPr="00E926D6">
              <w:rPr>
                <w:rFonts w:cs="Arial"/>
              </w:rPr>
              <w:t>1.</w:t>
            </w:r>
          </w:p>
        </w:tc>
        <w:tc>
          <w:tcPr>
            <w:tcW w:w="8954" w:type="dxa"/>
            <w:gridSpan w:val="4"/>
            <w:tcBorders>
              <w:top w:val="single" w:sz="8" w:space="0" w:color="000000"/>
              <w:left w:val="nil"/>
              <w:bottom w:val="single" w:sz="8" w:space="0" w:color="000000"/>
              <w:right w:val="single" w:sz="8" w:space="0" w:color="000000"/>
            </w:tcBorders>
            <w:shd w:val="clear" w:color="auto" w:fill="auto"/>
          </w:tcPr>
          <w:p w14:paraId="698CDA2C" w14:textId="515F3F50" w:rsidR="00BB63F9" w:rsidRPr="00E926D6" w:rsidRDefault="001249DF" w:rsidP="00D44916">
            <w:pPr>
              <w:spacing w:after="0"/>
              <w:rPr>
                <w:rFonts w:eastAsiaTheme="minorHAnsi" w:cs="Arial"/>
                <w:color w:val="auto"/>
                <w:lang w:eastAsia="en-US"/>
              </w:rPr>
            </w:pPr>
            <w:r w:rsidRPr="00E926D6">
              <w:rPr>
                <w:rFonts w:eastAsiaTheme="minorHAnsi" w:cs="Arial"/>
                <w:color w:val="auto"/>
                <w:lang w:eastAsia="en-US"/>
              </w:rPr>
              <w:t>To</w:t>
            </w:r>
            <w:r w:rsidR="00144F4B" w:rsidRPr="00E926D6">
              <w:rPr>
                <w:rFonts w:eastAsiaTheme="minorHAnsi" w:cs="Arial"/>
                <w:color w:val="auto"/>
                <w:lang w:eastAsia="en-US"/>
              </w:rPr>
              <w:t xml:space="preserve"> authorise the transfer by </w:t>
            </w:r>
            <w:r w:rsidR="00F43E44" w:rsidRPr="00E926D6">
              <w:rPr>
                <w:rFonts w:eastAsiaTheme="minorHAnsi" w:cs="Arial"/>
                <w:color w:val="auto"/>
                <w:lang w:eastAsia="en-US"/>
              </w:rPr>
              <w:t>purchase</w:t>
            </w:r>
            <w:r w:rsidR="00144F4B" w:rsidRPr="00E926D6">
              <w:rPr>
                <w:rFonts w:eastAsiaTheme="minorHAnsi" w:cs="Arial"/>
                <w:color w:val="auto"/>
                <w:lang w:eastAsia="en-US"/>
              </w:rPr>
              <w:t xml:space="preserve"> of </w:t>
            </w:r>
            <w:r w:rsidR="000A12E2" w:rsidRPr="00E926D6">
              <w:rPr>
                <w:rStyle w:val="Firstpagetablebold"/>
                <w:rFonts w:cs="Arial"/>
                <w:b w:val="0"/>
                <w:color w:val="auto"/>
              </w:rPr>
              <w:t xml:space="preserve">the </w:t>
            </w:r>
            <w:r w:rsidR="00761325" w:rsidRPr="00E926D6">
              <w:rPr>
                <w:rStyle w:val="Firstpagetablebold"/>
                <w:rFonts w:cs="Arial"/>
                <w:b w:val="0"/>
                <w:color w:val="auto"/>
              </w:rPr>
              <w:t xml:space="preserve">land </w:t>
            </w:r>
            <w:r w:rsidR="00F43E44" w:rsidRPr="00E926D6">
              <w:rPr>
                <w:rStyle w:val="Firstpagetablebold"/>
                <w:rFonts w:cs="Arial"/>
                <w:b w:val="0"/>
                <w:color w:val="auto"/>
              </w:rPr>
              <w:t xml:space="preserve">and housing </w:t>
            </w:r>
            <w:r w:rsidR="001C47D7" w:rsidRPr="00E926D6">
              <w:rPr>
                <w:rStyle w:val="Firstpagetablebold"/>
                <w:rFonts w:cs="Arial"/>
                <w:b w:val="0"/>
                <w:color w:val="auto"/>
              </w:rPr>
              <w:t xml:space="preserve">on land at </w:t>
            </w:r>
            <w:r w:rsidR="0083292F">
              <w:rPr>
                <w:rStyle w:val="Firstpagetablebold"/>
                <w:rFonts w:cs="Arial"/>
                <w:b w:val="0"/>
                <w:color w:val="auto"/>
              </w:rPr>
              <w:t>16 Sparsey Place</w:t>
            </w:r>
            <w:r w:rsidR="001C47D7" w:rsidRPr="00E926D6">
              <w:rPr>
                <w:rStyle w:val="Firstpagetablebold"/>
                <w:rFonts w:cs="Arial"/>
                <w:b w:val="0"/>
                <w:color w:val="auto"/>
              </w:rPr>
              <w:t xml:space="preserve">, Oxford </w:t>
            </w:r>
            <w:r w:rsidR="00CE64EC" w:rsidRPr="00E926D6">
              <w:rPr>
                <w:rStyle w:val="Firstpagetablebold"/>
                <w:rFonts w:cs="Arial"/>
                <w:b w:val="0"/>
                <w:color w:val="auto"/>
              </w:rPr>
              <w:t>from</w:t>
            </w:r>
            <w:r w:rsidR="000A12E2" w:rsidRPr="00E926D6">
              <w:rPr>
                <w:rStyle w:val="Firstpagetablebold"/>
                <w:rFonts w:cs="Arial"/>
                <w:b w:val="0"/>
                <w:color w:val="auto"/>
              </w:rPr>
              <w:t xml:space="preserve"> Oxford City Housing (Development) Limited</w:t>
            </w:r>
            <w:r w:rsidR="00144F4B" w:rsidRPr="00E926D6">
              <w:rPr>
                <w:rFonts w:eastAsiaTheme="minorHAnsi" w:cs="Arial"/>
                <w:color w:val="auto"/>
                <w:lang w:eastAsia="en-US"/>
              </w:rPr>
              <w:t xml:space="preserve"> </w:t>
            </w:r>
            <w:r w:rsidR="00CE64EC" w:rsidRPr="00E926D6">
              <w:rPr>
                <w:rFonts w:eastAsiaTheme="minorHAnsi" w:cs="Arial"/>
                <w:color w:val="auto"/>
                <w:lang w:eastAsia="en-US"/>
              </w:rPr>
              <w:t xml:space="preserve">for the Council’s Housing Revenue Account </w:t>
            </w:r>
            <w:r w:rsidR="00144F4B" w:rsidRPr="00E926D6">
              <w:rPr>
                <w:rFonts w:eastAsiaTheme="minorHAnsi" w:cs="Arial"/>
                <w:color w:val="auto"/>
                <w:lang w:eastAsia="en-US"/>
              </w:rPr>
              <w:t xml:space="preserve">for a consideration of </w:t>
            </w:r>
            <w:r w:rsidR="00EA7344">
              <w:rPr>
                <w:rFonts w:eastAsiaTheme="minorHAnsi" w:cs="Arial"/>
                <w:color w:val="auto"/>
                <w:lang w:eastAsia="en-US"/>
              </w:rPr>
              <w:t>£</w:t>
            </w:r>
            <w:r w:rsidR="00D44916">
              <w:rPr>
                <w:rFonts w:eastAsiaTheme="minorHAnsi" w:cs="Arial"/>
                <w:color w:val="auto"/>
                <w:lang w:eastAsia="en-US"/>
              </w:rPr>
              <w:t>478,000</w:t>
            </w:r>
            <w:r w:rsidR="00144F4B" w:rsidRPr="00E926D6">
              <w:rPr>
                <w:rFonts w:eastAsiaTheme="minorHAnsi" w:cs="Arial"/>
                <w:color w:val="auto"/>
                <w:lang w:eastAsia="en-US"/>
              </w:rPr>
              <w:t xml:space="preserve"> in total.</w:t>
            </w:r>
          </w:p>
        </w:tc>
      </w:tr>
      <w:tr w:rsidR="00966D42" w:rsidRPr="00E926D6" w14:paraId="51081D73" w14:textId="77777777" w:rsidTr="00687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9380" w:type="dxa"/>
            <w:gridSpan w:val="5"/>
            <w:tcBorders>
              <w:top w:val="single" w:sz="8" w:space="0" w:color="000000"/>
              <w:left w:val="single" w:sz="8" w:space="0" w:color="000000"/>
              <w:bottom w:val="single" w:sz="8" w:space="0" w:color="000000"/>
              <w:right w:val="single" w:sz="8" w:space="0" w:color="000000"/>
            </w:tcBorders>
            <w:shd w:val="clear" w:color="auto" w:fill="auto"/>
          </w:tcPr>
          <w:p w14:paraId="0D27F5A9" w14:textId="77777777" w:rsidR="00966D42" w:rsidRPr="00E926D6" w:rsidRDefault="00966D42" w:rsidP="00263EA3">
            <w:pPr>
              <w:jc w:val="center"/>
              <w:rPr>
                <w:rFonts w:cs="Arial"/>
              </w:rPr>
            </w:pPr>
            <w:r w:rsidRPr="00E926D6">
              <w:rPr>
                <w:rStyle w:val="Firstpagetablebold"/>
                <w:rFonts w:cs="Arial"/>
              </w:rPr>
              <w:t>Appendices</w:t>
            </w:r>
          </w:p>
        </w:tc>
      </w:tr>
      <w:tr w:rsidR="001500B9" w:rsidRPr="00E926D6" w14:paraId="2C8A7E7A" w14:textId="77777777" w:rsidTr="00687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9380" w:type="dxa"/>
            <w:gridSpan w:val="5"/>
            <w:tcBorders>
              <w:top w:val="single" w:sz="8" w:space="0" w:color="000000"/>
              <w:left w:val="single" w:sz="8" w:space="0" w:color="000000"/>
              <w:bottom w:val="single" w:sz="4" w:space="0" w:color="auto"/>
              <w:right w:val="single" w:sz="8" w:space="0" w:color="000000"/>
            </w:tcBorders>
            <w:shd w:val="clear" w:color="auto" w:fill="auto"/>
          </w:tcPr>
          <w:p w14:paraId="3F5EA270" w14:textId="77777777" w:rsidR="001500B9" w:rsidRPr="00E926D6" w:rsidRDefault="001500B9" w:rsidP="001500B9">
            <w:pPr>
              <w:rPr>
                <w:rFonts w:cs="Arial"/>
              </w:rPr>
            </w:pPr>
            <w:r w:rsidRPr="00E926D6">
              <w:rPr>
                <w:rFonts w:cs="Arial"/>
              </w:rPr>
              <w:t>1. Dashboard of financial performance</w:t>
            </w:r>
          </w:p>
        </w:tc>
      </w:tr>
    </w:tbl>
    <w:p w14:paraId="5822D55A" w14:textId="77777777" w:rsidR="002F1E9E" w:rsidRPr="00D44916" w:rsidRDefault="002F1E9E" w:rsidP="004A6D2F">
      <w:pPr>
        <w:pStyle w:val="Heading1"/>
        <w:rPr>
          <w:rFonts w:cs="Arial"/>
        </w:rPr>
      </w:pPr>
      <w:r w:rsidRPr="00D44916">
        <w:rPr>
          <w:rFonts w:cs="Arial"/>
        </w:rPr>
        <w:t>Introduction</w:t>
      </w:r>
    </w:p>
    <w:p w14:paraId="65D7CBA2" w14:textId="7128BE4C" w:rsidR="004065C4" w:rsidRDefault="002F1E9E" w:rsidP="004065C4">
      <w:pPr>
        <w:pStyle w:val="Heading1"/>
        <w:numPr>
          <w:ilvl w:val="0"/>
          <w:numId w:val="48"/>
        </w:numPr>
        <w:rPr>
          <w:rFonts w:cs="Arial"/>
          <w:b w:val="0"/>
        </w:rPr>
      </w:pPr>
      <w:r>
        <w:rPr>
          <w:rFonts w:cs="Arial"/>
          <w:b w:val="0"/>
        </w:rPr>
        <w:t xml:space="preserve">OCHL have recently finished refurbishment work </w:t>
      </w:r>
      <w:r w:rsidR="001853BB">
        <w:rPr>
          <w:rFonts w:cs="Arial"/>
          <w:b w:val="0"/>
        </w:rPr>
        <w:t xml:space="preserve">at </w:t>
      </w:r>
      <w:r>
        <w:rPr>
          <w:rFonts w:cs="Arial"/>
          <w:b w:val="0"/>
        </w:rPr>
        <w:t xml:space="preserve">16 </w:t>
      </w:r>
      <w:proofErr w:type="spellStart"/>
      <w:r>
        <w:rPr>
          <w:rFonts w:cs="Arial"/>
          <w:b w:val="0"/>
        </w:rPr>
        <w:t>Sparsey</w:t>
      </w:r>
      <w:proofErr w:type="spellEnd"/>
      <w:r>
        <w:rPr>
          <w:rFonts w:cs="Arial"/>
          <w:b w:val="0"/>
        </w:rPr>
        <w:t xml:space="preserve"> Place including increasing the size of the home from 3 to 6 bedrooms. </w:t>
      </w:r>
      <w:r w:rsidR="004A2012">
        <w:rPr>
          <w:rFonts w:cs="Arial"/>
          <w:b w:val="0"/>
        </w:rPr>
        <w:t xml:space="preserve">The property now needs to transfer back to OCC to be put back into use. The home is part of a wider programme of extension projects which are currently being reviewed in terms of their overall financial performance. </w:t>
      </w:r>
      <w:r w:rsidR="004065C4">
        <w:rPr>
          <w:rFonts w:cs="Arial"/>
          <w:b w:val="0"/>
        </w:rPr>
        <w:t xml:space="preserve">A paper summarising this is being prepared for the April 2022 Cabinet by the </w:t>
      </w:r>
      <w:r w:rsidR="004065C4" w:rsidRPr="004065C4">
        <w:rPr>
          <w:b w:val="0"/>
        </w:rPr>
        <w:t>Affordable Housing Supply Corporate Lead</w:t>
      </w:r>
      <w:r w:rsidR="004065C4">
        <w:rPr>
          <w:b w:val="0"/>
        </w:rPr>
        <w:t>.</w:t>
      </w:r>
    </w:p>
    <w:p w14:paraId="4B5FBF07" w14:textId="22ABE324" w:rsidR="002F1E9E" w:rsidRPr="00D44916" w:rsidRDefault="004A2012" w:rsidP="00D44916">
      <w:pPr>
        <w:pStyle w:val="Heading1"/>
        <w:numPr>
          <w:ilvl w:val="0"/>
          <w:numId w:val="48"/>
        </w:numPr>
        <w:ind w:left="426" w:hanging="284"/>
        <w:rPr>
          <w:rFonts w:cs="Arial"/>
          <w:b w:val="0"/>
        </w:rPr>
      </w:pPr>
      <w:r>
        <w:rPr>
          <w:rFonts w:cs="Arial"/>
          <w:b w:val="0"/>
        </w:rPr>
        <w:t xml:space="preserve">This paper illustrates the specific financial performance of this </w:t>
      </w:r>
      <w:r w:rsidR="001853BB">
        <w:rPr>
          <w:rFonts w:cs="Arial"/>
          <w:b w:val="0"/>
        </w:rPr>
        <w:t>development</w:t>
      </w:r>
      <w:r>
        <w:rPr>
          <w:rFonts w:cs="Arial"/>
          <w:b w:val="0"/>
        </w:rPr>
        <w:t xml:space="preserve"> which, in light of the proposed funding, meets the HRAs </w:t>
      </w:r>
      <w:r w:rsidR="001853BB">
        <w:rPr>
          <w:rFonts w:cs="Arial"/>
          <w:b w:val="0"/>
        </w:rPr>
        <w:t xml:space="preserve">agreed </w:t>
      </w:r>
      <w:r>
        <w:rPr>
          <w:rFonts w:cs="Arial"/>
          <w:b w:val="0"/>
        </w:rPr>
        <w:t xml:space="preserve">parameters. Approval is in place from OCHL Board to transfer the property back on these terms. </w:t>
      </w:r>
    </w:p>
    <w:p w14:paraId="33304783" w14:textId="6E011CFA" w:rsidR="0040736F" w:rsidRPr="00E926D6" w:rsidRDefault="00DD5B73" w:rsidP="004A6D2F">
      <w:pPr>
        <w:pStyle w:val="Heading1"/>
        <w:rPr>
          <w:rFonts w:cs="Arial"/>
        </w:rPr>
      </w:pPr>
      <w:r>
        <w:rPr>
          <w:rFonts w:cs="Arial"/>
        </w:rPr>
        <w:t>Background</w:t>
      </w:r>
      <w:r w:rsidR="00404032" w:rsidRPr="00E926D6">
        <w:rPr>
          <w:rFonts w:cs="Arial"/>
        </w:rPr>
        <w:t xml:space="preserve"> </w:t>
      </w:r>
    </w:p>
    <w:p w14:paraId="5E342981" w14:textId="056AF444" w:rsidR="00E926D6" w:rsidRPr="004065C4" w:rsidRDefault="00E926D6" w:rsidP="004065C4">
      <w:pPr>
        <w:pStyle w:val="ListParagraph"/>
        <w:numPr>
          <w:ilvl w:val="0"/>
          <w:numId w:val="48"/>
        </w:numPr>
        <w:rPr>
          <w:rFonts w:cs="Arial"/>
        </w:rPr>
      </w:pPr>
      <w:r w:rsidRPr="004065C4">
        <w:rPr>
          <w:rFonts w:cs="Arial"/>
        </w:rPr>
        <w:t>As part of Oxford City Council’s CEB decision on 29 May 2019</w:t>
      </w:r>
      <w:r w:rsidRPr="004065C4">
        <w:rPr>
          <w:rFonts w:cs="Arial"/>
          <w:color w:val="auto"/>
        </w:rPr>
        <w:t xml:space="preserve"> </w:t>
      </w:r>
      <w:r w:rsidRPr="004065C4">
        <w:rPr>
          <w:rFonts w:cs="Arial"/>
        </w:rPr>
        <w:t>to confirm the future strategic direction for the Council’s group of housing companies it was agreed that OCHL would continue with the current acquisition and development programme.</w:t>
      </w:r>
    </w:p>
    <w:p w14:paraId="4F302DC8" w14:textId="77777777" w:rsidR="00631B0F" w:rsidRDefault="00631B0F" w:rsidP="004065C4">
      <w:pPr>
        <w:pStyle w:val="ListParagraph"/>
        <w:numPr>
          <w:ilvl w:val="0"/>
          <w:numId w:val="48"/>
        </w:numPr>
        <w:rPr>
          <w:rFonts w:cs="Arial"/>
        </w:rPr>
      </w:pPr>
      <w:r>
        <w:rPr>
          <w:rFonts w:cs="Arial"/>
        </w:rPr>
        <w:t>It</w:t>
      </w:r>
      <w:r w:rsidR="004065C4" w:rsidRPr="004065C4">
        <w:rPr>
          <w:rFonts w:cs="Arial"/>
        </w:rPr>
        <w:t xml:space="preserve"> was agreed in principle that the Council would purchase and manage the social rented units from </w:t>
      </w:r>
      <w:proofErr w:type="gramStart"/>
      <w:r w:rsidR="004065C4" w:rsidRPr="004065C4">
        <w:rPr>
          <w:rFonts w:cs="Arial"/>
        </w:rPr>
        <w:t>OCH(</w:t>
      </w:r>
      <w:proofErr w:type="gramEnd"/>
      <w:r w:rsidR="004065C4" w:rsidRPr="004065C4">
        <w:rPr>
          <w:rFonts w:cs="Arial"/>
        </w:rPr>
        <w:t xml:space="preserve">D)L as they were developed. The sale values for units in </w:t>
      </w:r>
      <w:r w:rsidR="004065C4" w:rsidRPr="004065C4">
        <w:rPr>
          <w:rFonts w:cs="Arial"/>
        </w:rPr>
        <w:lastRenderedPageBreak/>
        <w:t xml:space="preserve">this programme of extended homes, where major refurbishment works were undertaken were intended to be at open market value. </w:t>
      </w:r>
    </w:p>
    <w:p w14:paraId="12292D8E" w14:textId="253720B3" w:rsidR="00E926D6" w:rsidRPr="00E926D6" w:rsidRDefault="00E926D6" w:rsidP="004065C4">
      <w:pPr>
        <w:pStyle w:val="ListParagraph"/>
        <w:numPr>
          <w:ilvl w:val="0"/>
          <w:numId w:val="48"/>
        </w:numPr>
        <w:rPr>
          <w:rFonts w:cs="Arial"/>
        </w:rPr>
      </w:pPr>
      <w:r w:rsidRPr="00E926D6">
        <w:rPr>
          <w:rFonts w:cs="Arial"/>
        </w:rPr>
        <w:t xml:space="preserve">The transfer of </w:t>
      </w:r>
      <w:r w:rsidR="00631B0F">
        <w:rPr>
          <w:rFonts w:cs="Arial"/>
        </w:rPr>
        <w:t xml:space="preserve">the </w:t>
      </w:r>
      <w:r w:rsidRPr="00E926D6">
        <w:rPr>
          <w:rFonts w:cs="Arial"/>
        </w:rPr>
        <w:t>void properties to OCHL for development was detailed in the report. The report is not able to identify each property as the programme relie</w:t>
      </w:r>
      <w:r w:rsidR="004065C4">
        <w:rPr>
          <w:rFonts w:cs="Arial"/>
        </w:rPr>
        <w:t>d</w:t>
      </w:r>
      <w:r w:rsidRPr="00E926D6">
        <w:rPr>
          <w:rFonts w:cs="Arial"/>
        </w:rPr>
        <w:t xml:space="preserve"> on the identification of suitable properties as and when they become void. The report reads as follows:</w:t>
      </w:r>
    </w:p>
    <w:p w14:paraId="50C56572" w14:textId="71F63866" w:rsidR="00E926D6" w:rsidRPr="00E926D6" w:rsidRDefault="00E926D6" w:rsidP="004065C4">
      <w:pPr>
        <w:pStyle w:val="ListParagraph"/>
        <w:numPr>
          <w:ilvl w:val="1"/>
          <w:numId w:val="48"/>
        </w:numPr>
        <w:rPr>
          <w:rFonts w:cs="Arial"/>
        </w:rPr>
      </w:pPr>
      <w:r w:rsidRPr="00E926D6">
        <w:rPr>
          <w:rFonts w:cs="Arial"/>
        </w:rPr>
        <w:t>Item 12 – Transfer of Voids</w:t>
      </w:r>
      <w:r w:rsidRPr="00E926D6">
        <w:rPr>
          <w:rFonts w:cs="Arial"/>
        </w:rPr>
        <w:br/>
        <w:t>The HRA ‘trickle’ transfer of 5 voids per year to OCHL was initially agreed for two main reasons. Firstly the HRA had developed an initiative to identify void properties with the potential for extension and /or development. The previous government policy changes that negatively impacted the HRA</w:t>
      </w:r>
      <w:r w:rsidR="001853BB">
        <w:rPr>
          <w:rFonts w:cs="Arial"/>
        </w:rPr>
        <w:t>,</w:t>
      </w:r>
      <w:r w:rsidRPr="00E926D6">
        <w:rPr>
          <w:rFonts w:cs="Arial"/>
        </w:rPr>
        <w:t xml:space="preserve"> threatened to affect the continuation of this initiative so the activity was transferred to OCHL.</w:t>
      </w:r>
    </w:p>
    <w:p w14:paraId="3FD19D7B" w14:textId="77777777" w:rsidR="00E926D6" w:rsidRPr="00E926D6" w:rsidRDefault="00E926D6" w:rsidP="00E926D6">
      <w:pPr>
        <w:ind w:left="720"/>
        <w:rPr>
          <w:rFonts w:cs="Arial"/>
        </w:rPr>
      </w:pPr>
      <w:r w:rsidRPr="00E926D6">
        <w:rPr>
          <w:rFonts w:cs="Arial"/>
        </w:rPr>
        <w:t xml:space="preserve">It is proposed the initiative to extend or redevelop voids should continue with OCHL in order to deliver larger units. </w:t>
      </w:r>
    </w:p>
    <w:p w14:paraId="67935411" w14:textId="77777777" w:rsidR="00E926D6" w:rsidRPr="00E926D6" w:rsidRDefault="00E926D6" w:rsidP="004065C4">
      <w:pPr>
        <w:pStyle w:val="ListParagraph"/>
        <w:numPr>
          <w:ilvl w:val="0"/>
          <w:numId w:val="48"/>
        </w:numPr>
        <w:rPr>
          <w:rFonts w:cs="Arial"/>
        </w:rPr>
      </w:pPr>
      <w:r w:rsidRPr="00E926D6">
        <w:rPr>
          <w:rFonts w:cs="Arial"/>
        </w:rPr>
        <w:t>Extracts from the minutes of the report read as follows:-</w:t>
      </w:r>
      <w:r w:rsidRPr="00E926D6">
        <w:rPr>
          <w:rFonts w:cs="Arial"/>
        </w:rPr>
        <w:br/>
        <w:t>Cabinet resolved to:</w:t>
      </w:r>
    </w:p>
    <w:p w14:paraId="1A0D0EF5" w14:textId="77777777" w:rsidR="00E926D6" w:rsidRPr="00E926D6" w:rsidRDefault="00E926D6" w:rsidP="00E926D6">
      <w:pPr>
        <w:pStyle w:val="ListParagraph"/>
        <w:numPr>
          <w:ilvl w:val="0"/>
          <w:numId w:val="46"/>
        </w:numPr>
        <w:rPr>
          <w:rFonts w:cs="Arial"/>
        </w:rPr>
      </w:pPr>
      <w:r w:rsidRPr="00E926D6">
        <w:rPr>
          <w:rFonts w:cs="Arial"/>
        </w:rPr>
        <w:t>Minute 1 – ‘Agree that the Oxford City Housing Limited group of companies (OCHL) continues with the current development and acquisition programmes as detailed in paragraphs 9,12 and 14 of the report’;</w:t>
      </w:r>
    </w:p>
    <w:p w14:paraId="02038D5F" w14:textId="77777777" w:rsidR="00E926D6" w:rsidRPr="00E926D6" w:rsidRDefault="00E926D6" w:rsidP="00E926D6">
      <w:pPr>
        <w:pStyle w:val="ListParagraph"/>
        <w:numPr>
          <w:ilvl w:val="0"/>
          <w:numId w:val="46"/>
        </w:numPr>
        <w:rPr>
          <w:rFonts w:cs="Arial"/>
        </w:rPr>
      </w:pPr>
      <w:r w:rsidRPr="00E926D6">
        <w:rPr>
          <w:rFonts w:cs="Arial"/>
        </w:rPr>
        <w:t>Minute 2 – ‘Agree that the Council’s Housing Revenue Account from this date onwards purchases and manages the social rented and shared ownership units (with the exception of the Barton Park units)’</w:t>
      </w:r>
    </w:p>
    <w:p w14:paraId="5D532A1C" w14:textId="34E49EF7" w:rsidR="00E926D6" w:rsidRPr="00E926D6" w:rsidRDefault="00E926D6" w:rsidP="00E926D6">
      <w:pPr>
        <w:pStyle w:val="ListParagraph"/>
        <w:numPr>
          <w:ilvl w:val="0"/>
          <w:numId w:val="46"/>
        </w:numPr>
        <w:rPr>
          <w:rFonts w:cs="Arial"/>
        </w:rPr>
      </w:pPr>
      <w:r w:rsidRPr="00E926D6">
        <w:rPr>
          <w:rFonts w:cs="Arial"/>
        </w:rPr>
        <w:t>Minute 6 - ‘Agree that delegated authority is given to the Assistant Chief Executive in consultation with the Head of Finance and the Head of Law and Governance to approve and facilitate the agreed purchase by the HRA of all affordable housing units at the OHCL development sites’</w:t>
      </w:r>
      <w:r w:rsidR="0037385B">
        <w:rPr>
          <w:rFonts w:cs="Arial"/>
        </w:rPr>
        <w:t xml:space="preserve"> (this role is now the Executive Director for Communities and People).</w:t>
      </w:r>
    </w:p>
    <w:p w14:paraId="5A8361A5" w14:textId="685FBA0D" w:rsidR="005302EC" w:rsidRPr="00E926D6" w:rsidRDefault="0032548F" w:rsidP="004065C4">
      <w:pPr>
        <w:pStyle w:val="ListParagraph"/>
        <w:numPr>
          <w:ilvl w:val="0"/>
          <w:numId w:val="48"/>
        </w:numPr>
        <w:rPr>
          <w:rFonts w:cs="Arial"/>
          <w:b/>
        </w:rPr>
      </w:pPr>
      <w:r>
        <w:rPr>
          <w:rFonts w:cs="Arial"/>
          <w:color w:val="auto"/>
        </w:rPr>
        <w:t xml:space="preserve">Under this Extension Programme </w:t>
      </w:r>
      <w:r w:rsidR="00D75777" w:rsidRPr="00E926D6">
        <w:rPr>
          <w:rFonts w:cs="Arial"/>
          <w:color w:val="auto"/>
        </w:rPr>
        <w:t xml:space="preserve">OCH(D)L </w:t>
      </w:r>
      <w:r w:rsidR="00006924" w:rsidRPr="00E926D6">
        <w:rPr>
          <w:rFonts w:cs="Arial"/>
          <w:color w:val="auto"/>
        </w:rPr>
        <w:t>ha</w:t>
      </w:r>
      <w:r w:rsidR="00DA7646" w:rsidRPr="00E926D6">
        <w:rPr>
          <w:rFonts w:cs="Arial"/>
          <w:color w:val="auto"/>
        </w:rPr>
        <w:t xml:space="preserve">s </w:t>
      </w:r>
      <w:r w:rsidR="001E0299">
        <w:rPr>
          <w:rFonts w:cs="Arial"/>
          <w:color w:val="auto"/>
        </w:rPr>
        <w:t xml:space="preserve">completed the </w:t>
      </w:r>
      <w:r w:rsidR="00DA7646" w:rsidRPr="00E926D6">
        <w:rPr>
          <w:rFonts w:cs="Arial"/>
          <w:color w:val="auto"/>
        </w:rPr>
        <w:t xml:space="preserve">build contract to </w:t>
      </w:r>
      <w:r w:rsidR="0083292F">
        <w:rPr>
          <w:rFonts w:cs="Arial"/>
          <w:color w:val="auto"/>
        </w:rPr>
        <w:t>extend</w:t>
      </w:r>
      <w:r w:rsidR="001C47D7" w:rsidRPr="00E926D6">
        <w:rPr>
          <w:rFonts w:cs="Arial"/>
          <w:color w:val="auto"/>
        </w:rPr>
        <w:t xml:space="preserve"> and refurbish the </w:t>
      </w:r>
      <w:r w:rsidR="001E0299">
        <w:rPr>
          <w:rFonts w:cs="Arial"/>
          <w:color w:val="auto"/>
        </w:rPr>
        <w:t xml:space="preserve">property </w:t>
      </w:r>
      <w:r w:rsidR="001C47D7" w:rsidRPr="00E926D6">
        <w:rPr>
          <w:rFonts w:cs="Arial"/>
          <w:color w:val="auto"/>
        </w:rPr>
        <w:t>at</w:t>
      </w:r>
      <w:r w:rsidR="00400CEC">
        <w:rPr>
          <w:rFonts w:cs="Arial"/>
          <w:color w:val="auto"/>
        </w:rPr>
        <w:t xml:space="preserve"> </w:t>
      </w:r>
      <w:r w:rsidR="0083292F">
        <w:rPr>
          <w:rFonts w:cs="Arial"/>
          <w:color w:val="auto"/>
        </w:rPr>
        <w:t xml:space="preserve">16 </w:t>
      </w:r>
      <w:proofErr w:type="spellStart"/>
      <w:r w:rsidR="0083292F">
        <w:rPr>
          <w:rFonts w:cs="Arial"/>
          <w:color w:val="auto"/>
        </w:rPr>
        <w:t>Sparsey</w:t>
      </w:r>
      <w:proofErr w:type="spellEnd"/>
      <w:r w:rsidR="0083292F">
        <w:rPr>
          <w:rFonts w:cs="Arial"/>
          <w:color w:val="auto"/>
        </w:rPr>
        <w:t xml:space="preserve"> Place</w:t>
      </w:r>
      <w:r w:rsidR="00DA7646" w:rsidRPr="00E926D6">
        <w:rPr>
          <w:rFonts w:cs="Arial"/>
          <w:color w:val="auto"/>
        </w:rPr>
        <w:t xml:space="preserve"> to </w:t>
      </w:r>
      <w:r w:rsidR="002D5217" w:rsidRPr="00E926D6">
        <w:rPr>
          <w:rFonts w:cs="Arial"/>
          <w:color w:val="auto"/>
        </w:rPr>
        <w:t xml:space="preserve">be wholly affordable housing </w:t>
      </w:r>
      <w:r w:rsidR="00B914A1" w:rsidRPr="00E926D6">
        <w:rPr>
          <w:rFonts w:cs="Arial"/>
          <w:color w:val="auto"/>
        </w:rPr>
        <w:t>(</w:t>
      </w:r>
      <w:r w:rsidR="002D5217" w:rsidRPr="00E926D6">
        <w:rPr>
          <w:rFonts w:cs="Arial"/>
          <w:color w:val="auto"/>
        </w:rPr>
        <w:t>Social Rent)</w:t>
      </w:r>
      <w:r w:rsidR="00B914A1" w:rsidRPr="00E926D6">
        <w:rPr>
          <w:rFonts w:cs="Arial"/>
          <w:color w:val="auto"/>
        </w:rPr>
        <w:t xml:space="preserve"> and require the Council to c</w:t>
      </w:r>
      <w:r w:rsidR="0083292F">
        <w:rPr>
          <w:rFonts w:cs="Arial"/>
          <w:color w:val="auto"/>
        </w:rPr>
        <w:t>onfirm the purchase price of this</w:t>
      </w:r>
      <w:r w:rsidR="00B914A1" w:rsidRPr="00E926D6">
        <w:rPr>
          <w:rFonts w:cs="Arial"/>
          <w:color w:val="auto"/>
        </w:rPr>
        <w:t xml:space="preserve"> home and commit to the</w:t>
      </w:r>
      <w:r w:rsidR="0083292F">
        <w:rPr>
          <w:rFonts w:cs="Arial"/>
          <w:color w:val="auto"/>
        </w:rPr>
        <w:t xml:space="preserve"> </w:t>
      </w:r>
      <w:r w:rsidR="00B914A1" w:rsidRPr="00E926D6">
        <w:rPr>
          <w:rFonts w:cs="Arial"/>
          <w:color w:val="auto"/>
        </w:rPr>
        <w:t>purchase.</w:t>
      </w:r>
      <w:r w:rsidR="008F6B3F" w:rsidRPr="00E926D6">
        <w:rPr>
          <w:rFonts w:cs="Arial"/>
          <w:color w:val="auto"/>
        </w:rPr>
        <w:t xml:space="preserve"> </w:t>
      </w:r>
    </w:p>
    <w:p w14:paraId="7591A08A" w14:textId="79A628AC" w:rsidR="001E0299" w:rsidRPr="004065C4" w:rsidRDefault="001E0299" w:rsidP="004065C4">
      <w:pPr>
        <w:pStyle w:val="ListParagraph"/>
        <w:numPr>
          <w:ilvl w:val="0"/>
          <w:numId w:val="48"/>
        </w:numPr>
        <w:rPr>
          <w:rFonts w:cs="Arial"/>
        </w:rPr>
      </w:pPr>
      <w:r>
        <w:rPr>
          <w:rFonts w:cs="Arial"/>
          <w:color w:val="auto"/>
        </w:rPr>
        <w:t xml:space="preserve">The property will provide a six bedroom, 11 person home suitable for the needs of one of the larger households on the Council’s housing register. </w:t>
      </w:r>
    </w:p>
    <w:p w14:paraId="3144213D" w14:textId="7BF4DBFF" w:rsidR="004065C4" w:rsidRPr="004065C4" w:rsidRDefault="004065C4" w:rsidP="004065C4">
      <w:pPr>
        <w:pStyle w:val="ListParagraph"/>
        <w:numPr>
          <w:ilvl w:val="0"/>
          <w:numId w:val="48"/>
        </w:numPr>
        <w:rPr>
          <w:rFonts w:cs="Arial"/>
        </w:rPr>
      </w:pPr>
      <w:r w:rsidRPr="004065C4">
        <w:rPr>
          <w:rFonts w:cs="Arial"/>
        </w:rPr>
        <w:t xml:space="preserve">The works have extended the home from a standard 3 bedroom, 5 person house to a 6 bedroom 11 person home. The original </w:t>
      </w:r>
      <w:r>
        <w:rPr>
          <w:rFonts w:cs="Arial"/>
        </w:rPr>
        <w:t xml:space="preserve">part of the property </w:t>
      </w:r>
      <w:r w:rsidRPr="004065C4">
        <w:rPr>
          <w:rFonts w:cs="Arial"/>
        </w:rPr>
        <w:t xml:space="preserve">has undergone a major refurbishment to bring it up to modern standards for insulation and energy efficiency. The overall works include; rewiring, a full kitchen replacement, new central heating, new bathroom on the first floor and a shower room on the ground floor. The property is also adaptable and offers accommodation to a household with some mobility needs. </w:t>
      </w:r>
    </w:p>
    <w:p w14:paraId="10F402F5" w14:textId="7596F7EB" w:rsidR="004065C4" w:rsidRPr="004065C4" w:rsidRDefault="004065C4" w:rsidP="004065C4">
      <w:pPr>
        <w:pStyle w:val="ListParagraph"/>
        <w:numPr>
          <w:ilvl w:val="0"/>
          <w:numId w:val="48"/>
        </w:numPr>
        <w:rPr>
          <w:rFonts w:cs="Arial"/>
        </w:rPr>
      </w:pPr>
      <w:r w:rsidRPr="004065C4">
        <w:rPr>
          <w:rFonts w:cs="Arial"/>
        </w:rPr>
        <w:t>External works have improved the accessibility of the front and rear gardens and have included significant landscaping and fencing.</w:t>
      </w:r>
    </w:p>
    <w:p w14:paraId="72C6FB2D" w14:textId="1F2C7760" w:rsidR="004065C4" w:rsidRPr="004065C4" w:rsidRDefault="004065C4" w:rsidP="004065C4">
      <w:pPr>
        <w:ind w:left="142"/>
        <w:rPr>
          <w:rFonts w:cs="Arial"/>
          <w:b/>
        </w:rPr>
      </w:pPr>
      <w:r w:rsidRPr="004065C4">
        <w:rPr>
          <w:rFonts w:cs="Arial"/>
          <w:b/>
        </w:rPr>
        <w:t>Proposal</w:t>
      </w:r>
    </w:p>
    <w:p w14:paraId="06D8CFDA" w14:textId="3ACF450E" w:rsidR="006F5224" w:rsidRPr="00E63939" w:rsidRDefault="00B92AFB" w:rsidP="004065C4">
      <w:pPr>
        <w:pStyle w:val="ListParagraph"/>
        <w:numPr>
          <w:ilvl w:val="0"/>
          <w:numId w:val="48"/>
        </w:numPr>
        <w:rPr>
          <w:rFonts w:cs="Arial"/>
        </w:rPr>
      </w:pPr>
      <w:r w:rsidRPr="00E63939">
        <w:rPr>
          <w:rFonts w:cs="Arial"/>
          <w:color w:val="auto"/>
        </w:rPr>
        <w:t xml:space="preserve">The </w:t>
      </w:r>
      <w:r w:rsidR="00A26D2C" w:rsidRPr="00E63939">
        <w:rPr>
          <w:rFonts w:cs="Arial"/>
          <w:color w:val="auto"/>
        </w:rPr>
        <w:t xml:space="preserve">proposed </w:t>
      </w:r>
      <w:r w:rsidRPr="00E63939">
        <w:rPr>
          <w:rFonts w:cs="Arial"/>
          <w:color w:val="auto"/>
        </w:rPr>
        <w:t xml:space="preserve">purchase price </w:t>
      </w:r>
      <w:r w:rsidR="001E0299">
        <w:rPr>
          <w:rFonts w:cs="Arial"/>
          <w:color w:val="auto"/>
        </w:rPr>
        <w:t xml:space="preserve">is </w:t>
      </w:r>
      <w:r w:rsidR="00A66764" w:rsidRPr="00E63939">
        <w:rPr>
          <w:rFonts w:cs="Arial"/>
          <w:color w:val="auto"/>
        </w:rPr>
        <w:t>£</w:t>
      </w:r>
      <w:r w:rsidR="00D44916">
        <w:rPr>
          <w:rFonts w:cs="Arial"/>
          <w:color w:val="auto"/>
        </w:rPr>
        <w:t>478,000</w:t>
      </w:r>
      <w:r w:rsidR="00A26D2C" w:rsidRPr="00E63939">
        <w:rPr>
          <w:rFonts w:cs="Arial"/>
          <w:color w:val="auto"/>
        </w:rPr>
        <w:t xml:space="preserve"> </w:t>
      </w:r>
      <w:r w:rsidR="00437ABA" w:rsidRPr="00E63939">
        <w:rPr>
          <w:rFonts w:cs="Arial"/>
          <w:color w:val="auto"/>
        </w:rPr>
        <w:t xml:space="preserve">and </w:t>
      </w:r>
      <w:r w:rsidRPr="00E63939">
        <w:rPr>
          <w:rFonts w:cs="Arial"/>
          <w:color w:val="auto"/>
        </w:rPr>
        <w:t xml:space="preserve">is </w:t>
      </w:r>
      <w:r w:rsidR="00BD0299">
        <w:rPr>
          <w:rFonts w:cs="Arial"/>
          <w:color w:val="auto"/>
        </w:rPr>
        <w:t xml:space="preserve">a </w:t>
      </w:r>
      <w:r w:rsidR="00E63939" w:rsidRPr="00E63939">
        <w:rPr>
          <w:rFonts w:cs="Arial"/>
          <w:color w:val="auto"/>
        </w:rPr>
        <w:t>decrease</w:t>
      </w:r>
      <w:r w:rsidRPr="00E63939">
        <w:rPr>
          <w:rFonts w:cs="Arial"/>
          <w:color w:val="auto"/>
        </w:rPr>
        <w:t xml:space="preserve"> of £</w:t>
      </w:r>
      <w:r w:rsidR="00D44916">
        <w:rPr>
          <w:rFonts w:cs="Arial"/>
          <w:color w:val="auto"/>
        </w:rPr>
        <w:t>47,000</w:t>
      </w:r>
      <w:r w:rsidRPr="00E63939">
        <w:rPr>
          <w:rFonts w:cs="Arial"/>
          <w:color w:val="auto"/>
        </w:rPr>
        <w:t xml:space="preserve"> from</w:t>
      </w:r>
      <w:r w:rsidR="00A26D2C" w:rsidRPr="00E63939">
        <w:rPr>
          <w:rFonts w:cs="Arial"/>
          <w:color w:val="auto"/>
        </w:rPr>
        <w:t xml:space="preserve"> the initial </w:t>
      </w:r>
      <w:r w:rsidR="00437ABA" w:rsidRPr="00E63939">
        <w:rPr>
          <w:rFonts w:cs="Arial"/>
          <w:color w:val="auto"/>
        </w:rPr>
        <w:t>estimated price of £</w:t>
      </w:r>
      <w:r w:rsidR="00E63939" w:rsidRPr="00E63939">
        <w:rPr>
          <w:rFonts w:cs="Arial"/>
          <w:color w:val="auto"/>
        </w:rPr>
        <w:t>52</w:t>
      </w:r>
      <w:r w:rsidR="00437ABA" w:rsidRPr="00E63939">
        <w:rPr>
          <w:rFonts w:cs="Arial"/>
          <w:color w:val="auto"/>
        </w:rPr>
        <w:t xml:space="preserve">5,000 that was used in the Abovo model Development </w:t>
      </w:r>
      <w:r w:rsidR="00437ABA" w:rsidRPr="00E63939">
        <w:rPr>
          <w:rFonts w:cs="Arial"/>
          <w:color w:val="auto"/>
        </w:rPr>
        <w:lastRenderedPageBreak/>
        <w:t>Scheme Appraisals (DSA) for the HRA, previously approved by Cabinet.</w:t>
      </w:r>
      <w:r w:rsidR="00A26D2C" w:rsidRPr="00E63939">
        <w:rPr>
          <w:rFonts w:cs="Arial"/>
          <w:color w:val="auto"/>
        </w:rPr>
        <w:t xml:space="preserve"> </w:t>
      </w:r>
      <w:r w:rsidR="00EA7344">
        <w:rPr>
          <w:rFonts w:cs="Arial"/>
          <w:color w:val="auto"/>
        </w:rPr>
        <w:t>The value has been discounted by OCHL to meet the HRA parameters as outlined below</w:t>
      </w:r>
      <w:r w:rsidR="00631B0F">
        <w:rPr>
          <w:rFonts w:cs="Arial"/>
          <w:color w:val="auto"/>
        </w:rPr>
        <w:t>, along with additional funding through Retained Right to Buy (RRTB) receipts.</w:t>
      </w:r>
    </w:p>
    <w:p w14:paraId="46AA8AA1" w14:textId="0F86C08B" w:rsidR="00561935" w:rsidRPr="00E926D6" w:rsidRDefault="00437ABA" w:rsidP="004065C4">
      <w:pPr>
        <w:pStyle w:val="ListParagraph"/>
        <w:numPr>
          <w:ilvl w:val="0"/>
          <w:numId w:val="48"/>
        </w:numPr>
        <w:rPr>
          <w:rFonts w:cs="Arial"/>
        </w:rPr>
      </w:pPr>
      <w:r w:rsidRPr="00437ABA">
        <w:rPr>
          <w:rFonts w:cs="Arial"/>
        </w:rPr>
        <w:t xml:space="preserve">Council </w:t>
      </w:r>
      <w:r w:rsidR="004065C4">
        <w:rPr>
          <w:rFonts w:cs="Arial"/>
        </w:rPr>
        <w:t xml:space="preserve">previously </w:t>
      </w:r>
      <w:r w:rsidRPr="00437ABA">
        <w:rPr>
          <w:rFonts w:cs="Arial"/>
        </w:rPr>
        <w:t>approved the following HRA parameters as a guide when assessing and measuring the financial viability of proposed schemes which involves the Council acquiring dwellings from OCHL, namely</w:t>
      </w:r>
      <w:r w:rsidR="00561935" w:rsidRPr="00E926D6">
        <w:rPr>
          <w:rFonts w:cs="Arial"/>
        </w:rPr>
        <w:t>:</w:t>
      </w:r>
    </w:p>
    <w:p w14:paraId="17951151" w14:textId="77777777" w:rsidR="00561935" w:rsidRPr="00E926D6" w:rsidRDefault="00561935" w:rsidP="008875B1">
      <w:pPr>
        <w:pStyle w:val="ListParagraph"/>
        <w:numPr>
          <w:ilvl w:val="0"/>
          <w:numId w:val="45"/>
        </w:numPr>
        <w:rPr>
          <w:rFonts w:cs="Arial"/>
          <w:b/>
        </w:rPr>
      </w:pPr>
      <w:r w:rsidRPr="00E926D6">
        <w:rPr>
          <w:rFonts w:cs="Arial"/>
          <w:b/>
        </w:rPr>
        <w:t>Internal Rate of Return –</w:t>
      </w:r>
      <w:r w:rsidRPr="00E926D6">
        <w:rPr>
          <w:rFonts w:cs="Arial"/>
        </w:rPr>
        <w:t xml:space="preserve">The IRR </w:t>
      </w:r>
      <w:r w:rsidR="007E4DE0" w:rsidRPr="00E926D6">
        <w:rPr>
          <w:rFonts w:cs="Arial"/>
        </w:rPr>
        <w:t xml:space="preserve">threshold </w:t>
      </w:r>
      <w:r w:rsidRPr="00E926D6">
        <w:rPr>
          <w:rFonts w:cs="Arial"/>
        </w:rPr>
        <w:t xml:space="preserve">for the HRA is 3% </w:t>
      </w:r>
      <w:r w:rsidR="00E926D6">
        <w:rPr>
          <w:rFonts w:cs="Arial"/>
        </w:rPr>
        <w:t xml:space="preserve">- this scheme achieves </w:t>
      </w:r>
      <w:r w:rsidR="00E63939">
        <w:rPr>
          <w:rFonts w:cs="Arial"/>
        </w:rPr>
        <w:t>3.52%</w:t>
      </w:r>
    </w:p>
    <w:p w14:paraId="4CC60733" w14:textId="77777777" w:rsidR="00561935" w:rsidRPr="00E926D6" w:rsidRDefault="00561935" w:rsidP="008875B1">
      <w:pPr>
        <w:pStyle w:val="ListParagraph"/>
        <w:numPr>
          <w:ilvl w:val="0"/>
          <w:numId w:val="45"/>
        </w:numPr>
        <w:rPr>
          <w:rFonts w:cs="Arial"/>
        </w:rPr>
      </w:pPr>
      <w:r w:rsidRPr="00E926D6">
        <w:rPr>
          <w:rFonts w:cs="Arial"/>
          <w:b/>
        </w:rPr>
        <w:t xml:space="preserve">Net Present Value – </w:t>
      </w:r>
      <w:r w:rsidR="007E4DE0" w:rsidRPr="00E926D6">
        <w:rPr>
          <w:rFonts w:cs="Arial"/>
        </w:rPr>
        <w:t>The NPV threshold for the HRA is that it must be positive.</w:t>
      </w:r>
      <w:r w:rsidR="00791B1C" w:rsidRPr="00E926D6">
        <w:rPr>
          <w:rFonts w:cs="Arial"/>
        </w:rPr>
        <w:t xml:space="preserve"> Here it is </w:t>
      </w:r>
      <w:r w:rsidR="00EA7344">
        <w:rPr>
          <w:rFonts w:cs="Arial"/>
        </w:rPr>
        <w:t>£718</w:t>
      </w:r>
      <w:r w:rsidR="00E63939">
        <w:rPr>
          <w:rFonts w:cs="Arial"/>
        </w:rPr>
        <w:t>.</w:t>
      </w:r>
    </w:p>
    <w:p w14:paraId="640F00E6" w14:textId="77777777" w:rsidR="00561935" w:rsidRPr="00E926D6" w:rsidRDefault="00561935" w:rsidP="008875B1">
      <w:pPr>
        <w:pStyle w:val="ListParagraph"/>
        <w:numPr>
          <w:ilvl w:val="0"/>
          <w:numId w:val="45"/>
        </w:numPr>
        <w:rPr>
          <w:rFonts w:cs="Arial"/>
          <w:color w:val="auto"/>
        </w:rPr>
      </w:pPr>
      <w:r w:rsidRPr="00E926D6">
        <w:rPr>
          <w:rFonts w:cs="Arial"/>
          <w:b/>
        </w:rPr>
        <w:t xml:space="preserve">Payback – </w:t>
      </w:r>
      <w:r w:rsidR="00791B1C" w:rsidRPr="00E926D6">
        <w:rPr>
          <w:rFonts w:cs="Arial"/>
        </w:rPr>
        <w:t>The payback threshold for the HRA is below 70 years. This scheme pays ba</w:t>
      </w:r>
      <w:r w:rsidR="00E926D6">
        <w:rPr>
          <w:rFonts w:cs="Arial"/>
        </w:rPr>
        <w:t xml:space="preserve">ck in </w:t>
      </w:r>
      <w:r w:rsidR="00E63939">
        <w:rPr>
          <w:rFonts w:cs="Arial"/>
        </w:rPr>
        <w:t xml:space="preserve">60 </w:t>
      </w:r>
      <w:r w:rsidR="00791B1C" w:rsidRPr="00E926D6">
        <w:rPr>
          <w:rFonts w:cs="Arial"/>
        </w:rPr>
        <w:t>years.</w:t>
      </w:r>
    </w:p>
    <w:p w14:paraId="2EA25B6F" w14:textId="77777777" w:rsidR="00437ABA" w:rsidRDefault="00437ABA" w:rsidP="004065C4">
      <w:pPr>
        <w:pStyle w:val="ListParagraph"/>
        <w:numPr>
          <w:ilvl w:val="0"/>
          <w:numId w:val="48"/>
        </w:numPr>
      </w:pPr>
      <w:r>
        <w:t xml:space="preserve">The previous Abovo assessment proposed that the refurbished existing </w:t>
      </w:r>
      <w:r w:rsidR="006F5224">
        <w:t>unit</w:t>
      </w:r>
      <w:r>
        <w:t xml:space="preserve"> be let by the HRA as an Affordable Rent dwelling. </w:t>
      </w:r>
      <w:r w:rsidR="006F5224">
        <w:t>However t</w:t>
      </w:r>
      <w:r>
        <w:t xml:space="preserve">he prevailing Rent Standard regulations </w:t>
      </w:r>
      <w:r w:rsidR="003B484B">
        <w:t>state</w:t>
      </w:r>
      <w:r w:rsidR="006F5224">
        <w:t xml:space="preserve"> </w:t>
      </w:r>
      <w:r>
        <w:t xml:space="preserve">that Affordable Rent </w:t>
      </w:r>
      <w:r w:rsidR="006F5224">
        <w:t xml:space="preserve">can only apply where there is </w:t>
      </w:r>
      <w:r>
        <w:t>prior agreement with Government or one of its approved agencies e.g. Homes England, usually involving the supply of Government funding towards the construction/</w:t>
      </w:r>
      <w:r w:rsidR="006F5224">
        <w:t xml:space="preserve"> </w:t>
      </w:r>
      <w:r>
        <w:t>acquisition</w:t>
      </w:r>
      <w:r w:rsidR="003B484B">
        <w:t xml:space="preserve"> of that unit</w:t>
      </w:r>
      <w:r>
        <w:t>.</w:t>
      </w:r>
      <w:r w:rsidR="006F5224">
        <w:t xml:space="preserve"> </w:t>
      </w:r>
    </w:p>
    <w:p w14:paraId="259A9009" w14:textId="4A005A9B" w:rsidR="00437ABA" w:rsidRDefault="004065C4" w:rsidP="004065C4">
      <w:pPr>
        <w:pStyle w:val="ListParagraph"/>
        <w:numPr>
          <w:ilvl w:val="0"/>
          <w:numId w:val="48"/>
        </w:numPr>
      </w:pPr>
      <w:r>
        <w:t xml:space="preserve">This </w:t>
      </w:r>
      <w:r w:rsidR="00437ABA">
        <w:t xml:space="preserve">refurbished unit at </w:t>
      </w:r>
      <w:r w:rsidR="0083292F">
        <w:t>16 Sparsey Place</w:t>
      </w:r>
      <w:r w:rsidR="00437ABA">
        <w:t xml:space="preserve"> is not eligible to receive subsidy through the Oxfordshire Growth Deal (OGD). Therefore, it cannot be let at Affordable Rent and must be let at Social Rent.</w:t>
      </w:r>
    </w:p>
    <w:p w14:paraId="32C047F9" w14:textId="7E1A057C" w:rsidR="00B266A5" w:rsidRDefault="00B266A5" w:rsidP="004065C4">
      <w:pPr>
        <w:pStyle w:val="ListParagraph"/>
        <w:numPr>
          <w:ilvl w:val="0"/>
          <w:numId w:val="48"/>
        </w:numPr>
      </w:pPr>
      <w:r w:rsidRPr="00B266A5">
        <w:t xml:space="preserve">OCHL Board </w:t>
      </w:r>
      <w:r>
        <w:t xml:space="preserve">originally </w:t>
      </w:r>
      <w:r w:rsidRPr="00B266A5">
        <w:t xml:space="preserve">approved this transfer </w:t>
      </w:r>
      <w:r w:rsidR="0032548F">
        <w:t>to</w:t>
      </w:r>
      <w:r>
        <w:t xml:space="preserve"> the Council </w:t>
      </w:r>
      <w:r w:rsidRPr="00B266A5">
        <w:t>on 25</w:t>
      </w:r>
      <w:r w:rsidRPr="00B266A5">
        <w:rPr>
          <w:vertAlign w:val="superscript"/>
        </w:rPr>
        <w:t>th</w:t>
      </w:r>
      <w:r w:rsidRPr="00B266A5">
        <w:t xml:space="preserve"> November, 2021. However, it became apparent that the </w:t>
      </w:r>
      <w:r w:rsidR="0032548F">
        <w:t>HRA parameters c</w:t>
      </w:r>
      <w:r w:rsidRPr="00B266A5">
        <w:t xml:space="preserve">ould not be met because of the restriction of 40% RRTBR against acquisition rather than scheme costs. </w:t>
      </w:r>
      <w:r>
        <w:t xml:space="preserve">This meant the </w:t>
      </w:r>
      <w:r w:rsidR="0032548F">
        <w:t>HRA</w:t>
      </w:r>
      <w:r>
        <w:t xml:space="preserve"> could </w:t>
      </w:r>
      <w:r w:rsidRPr="00B266A5">
        <w:t>not afford the bu</w:t>
      </w:r>
      <w:r>
        <w:t>yback price originally assumed.</w:t>
      </w:r>
    </w:p>
    <w:p w14:paraId="2A343465" w14:textId="30796E52" w:rsidR="00B266A5" w:rsidRDefault="00B266A5" w:rsidP="004065C4">
      <w:pPr>
        <w:pStyle w:val="ListParagraph"/>
        <w:numPr>
          <w:ilvl w:val="0"/>
          <w:numId w:val="48"/>
        </w:numPr>
      </w:pPr>
      <w:r w:rsidRPr="00B266A5">
        <w:t xml:space="preserve">The impact on </w:t>
      </w:r>
      <w:r w:rsidR="0032548F">
        <w:t>the remaining</w:t>
      </w:r>
      <w:r w:rsidRPr="00B266A5">
        <w:t xml:space="preserve"> </w:t>
      </w:r>
      <w:r w:rsidR="004065C4">
        <w:t xml:space="preserve">4 </w:t>
      </w:r>
      <w:r w:rsidRPr="00B266A5">
        <w:t xml:space="preserve">extension projects in the programme </w:t>
      </w:r>
      <w:r w:rsidR="0032548F">
        <w:t xml:space="preserve">is dealt with in </w:t>
      </w:r>
      <w:r w:rsidR="004065C4">
        <w:t>the</w:t>
      </w:r>
      <w:r>
        <w:t xml:space="preserve"> </w:t>
      </w:r>
      <w:r w:rsidRPr="00B266A5">
        <w:t xml:space="preserve">Cabinet </w:t>
      </w:r>
      <w:r w:rsidR="0032548F">
        <w:t xml:space="preserve">report for the meeting </w:t>
      </w:r>
      <w:r w:rsidRPr="00B266A5">
        <w:t>in April 2022.</w:t>
      </w:r>
    </w:p>
    <w:p w14:paraId="6C04C26F" w14:textId="72160428" w:rsidR="00B266A5" w:rsidRDefault="00B266A5" w:rsidP="004065C4">
      <w:pPr>
        <w:pStyle w:val="ListParagraph"/>
        <w:numPr>
          <w:ilvl w:val="0"/>
          <w:numId w:val="48"/>
        </w:numPr>
      </w:pPr>
      <w:r w:rsidRPr="00B266A5">
        <w:t>However, we have brought this property ahead of that report because it is complete and standing void with a family waiting. The approach outlined here allows us to complete the transfer and get the property into use.</w:t>
      </w:r>
    </w:p>
    <w:p w14:paraId="50E92099" w14:textId="74D1C186" w:rsidR="00437ABA" w:rsidRPr="00687AF7" w:rsidRDefault="00B266A5" w:rsidP="004065C4">
      <w:pPr>
        <w:pStyle w:val="ListParagraph"/>
        <w:numPr>
          <w:ilvl w:val="0"/>
          <w:numId w:val="48"/>
        </w:numPr>
      </w:pPr>
      <w:r>
        <w:t xml:space="preserve">We propose that the </w:t>
      </w:r>
      <w:r w:rsidR="001E0299">
        <w:t xml:space="preserve">HRA </w:t>
      </w:r>
      <w:r>
        <w:t xml:space="preserve">provides 40% of the acquisition price through </w:t>
      </w:r>
      <w:r w:rsidR="001E0299">
        <w:t>R</w:t>
      </w:r>
      <w:r w:rsidR="0032548F">
        <w:t xml:space="preserve">RTBR </w:t>
      </w:r>
      <w:r>
        <w:t>in this instance. Future properties in this Extensions Programme will be treated differently under the proposals</w:t>
      </w:r>
      <w:r w:rsidR="0032548F">
        <w:t xml:space="preserve"> detailed in the April Cabinet report</w:t>
      </w:r>
      <w:r w:rsidR="00437ABA">
        <w:t xml:space="preserve">. </w:t>
      </w:r>
    </w:p>
    <w:p w14:paraId="1A9480F9" w14:textId="77B71F06" w:rsidR="00854402" w:rsidRPr="00687AF7" w:rsidRDefault="00854402" w:rsidP="004065C4">
      <w:pPr>
        <w:pStyle w:val="ListParagraph"/>
        <w:numPr>
          <w:ilvl w:val="0"/>
          <w:numId w:val="48"/>
        </w:numPr>
        <w:rPr>
          <w:rFonts w:cs="Arial"/>
        </w:rPr>
      </w:pPr>
      <w:r w:rsidRPr="00687AF7">
        <w:rPr>
          <w:rFonts w:cs="Arial"/>
          <w:color w:val="auto"/>
        </w:rPr>
        <w:t xml:space="preserve">The </w:t>
      </w:r>
      <w:r w:rsidR="00BD0299" w:rsidRPr="00687AF7">
        <w:rPr>
          <w:rFonts w:cs="Arial"/>
          <w:color w:val="auto"/>
        </w:rPr>
        <w:t xml:space="preserve">final </w:t>
      </w:r>
      <w:r w:rsidRPr="00687AF7">
        <w:rPr>
          <w:rFonts w:cs="Arial"/>
          <w:color w:val="auto"/>
        </w:rPr>
        <w:t>purchase price of £</w:t>
      </w:r>
      <w:r w:rsidR="001E0299" w:rsidRPr="00687AF7">
        <w:rPr>
          <w:rFonts w:cs="Arial"/>
          <w:color w:val="auto"/>
        </w:rPr>
        <w:t>478,000</w:t>
      </w:r>
      <w:r w:rsidRPr="00687AF7">
        <w:rPr>
          <w:rFonts w:cs="Arial"/>
          <w:color w:val="auto"/>
        </w:rPr>
        <w:t>, is the OCHL discounted full</w:t>
      </w:r>
      <w:r w:rsidRPr="00687AF7">
        <w:rPr>
          <w:rFonts w:cs="Arial"/>
        </w:rPr>
        <w:t xml:space="preserve"> open market value of £525,000 for the refurbished and extended home, which is then further supported by £</w:t>
      </w:r>
      <w:r w:rsidR="001E0299" w:rsidRPr="00687AF7">
        <w:rPr>
          <w:rFonts w:cs="Arial"/>
        </w:rPr>
        <w:t>191,2</w:t>
      </w:r>
      <w:r w:rsidRPr="00687AF7">
        <w:rPr>
          <w:rFonts w:cs="Arial"/>
        </w:rPr>
        <w:t xml:space="preserve">00 of </w:t>
      </w:r>
      <w:r w:rsidR="0032548F" w:rsidRPr="00687AF7">
        <w:rPr>
          <w:rFonts w:cs="Arial"/>
        </w:rPr>
        <w:t>RRTB</w:t>
      </w:r>
      <w:r w:rsidRPr="00687AF7">
        <w:rPr>
          <w:rFonts w:cs="Arial"/>
        </w:rPr>
        <w:t xml:space="preserve"> receipt.</w:t>
      </w:r>
    </w:p>
    <w:p w14:paraId="4E249FCE" w14:textId="77777777" w:rsidR="00437ABA" w:rsidRDefault="00437ABA" w:rsidP="004065C4">
      <w:pPr>
        <w:pStyle w:val="ListParagraph"/>
        <w:numPr>
          <w:ilvl w:val="0"/>
          <w:numId w:val="48"/>
        </w:numPr>
      </w:pPr>
      <w:r>
        <w:t>A comparison of the existing Abovo HRA DSA model output parameters with those now estimated with the dwelling set as a Social Rented property</w:t>
      </w:r>
      <w:r w:rsidR="00854402">
        <w:t>,</w:t>
      </w:r>
      <w:r>
        <w:t xml:space="preserve"> but funding 40% of the acquisition price from available retained RTB receipts</w:t>
      </w:r>
      <w:r w:rsidR="00854402">
        <w:t xml:space="preserve"> and discounted by OCHL, </w:t>
      </w:r>
      <w:r>
        <w:t>is shown in Table 1 below;</w:t>
      </w:r>
    </w:p>
    <w:p w14:paraId="6E138962" w14:textId="77777777" w:rsidR="00A334D0" w:rsidRDefault="00A334D0" w:rsidP="00A334D0">
      <w:pPr>
        <w:pStyle w:val="ListParagraph"/>
        <w:numPr>
          <w:ilvl w:val="0"/>
          <w:numId w:val="0"/>
        </w:numPr>
        <w:ind w:left="360"/>
      </w:pPr>
      <w:r>
        <w:rPr>
          <w:b/>
          <w:u w:val="single"/>
        </w:rPr>
        <w:t>Table 1 – HRA Capital Parameter Comparison</w:t>
      </w:r>
    </w:p>
    <w:tbl>
      <w:tblPr>
        <w:tblStyle w:val="MediumList2-Accent1"/>
        <w:tblW w:w="5183" w:type="pct"/>
        <w:tblLook w:val="04A0" w:firstRow="1" w:lastRow="0" w:firstColumn="1" w:lastColumn="0" w:noHBand="0" w:noVBand="1"/>
      </w:tblPr>
      <w:tblGrid>
        <w:gridCol w:w="1518"/>
        <w:gridCol w:w="1578"/>
        <w:gridCol w:w="1577"/>
        <w:gridCol w:w="1579"/>
        <w:gridCol w:w="1581"/>
        <w:gridCol w:w="1795"/>
      </w:tblGrid>
      <w:tr w:rsidR="00A334D0" w14:paraId="676F6CCC" w14:textId="77777777" w:rsidTr="004358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8" w:type="pct"/>
            <w:noWrap/>
          </w:tcPr>
          <w:p w14:paraId="7E8A75D9" w14:textId="77777777" w:rsidR="00A334D0" w:rsidRDefault="00A334D0" w:rsidP="00A67EF7">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Appraisal</w:t>
            </w:r>
          </w:p>
        </w:tc>
        <w:tc>
          <w:tcPr>
            <w:tcW w:w="819" w:type="pct"/>
          </w:tcPr>
          <w:p w14:paraId="20D812C6" w14:textId="77777777" w:rsidR="00A334D0" w:rsidRDefault="00A334D0" w:rsidP="00A67E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IRR</w:t>
            </w:r>
          </w:p>
        </w:tc>
        <w:tc>
          <w:tcPr>
            <w:tcW w:w="819" w:type="pct"/>
          </w:tcPr>
          <w:p w14:paraId="1C550309" w14:textId="77777777" w:rsidR="00A334D0" w:rsidRDefault="00A334D0" w:rsidP="00A67E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NPV</w:t>
            </w:r>
          </w:p>
        </w:tc>
        <w:tc>
          <w:tcPr>
            <w:tcW w:w="820" w:type="pct"/>
          </w:tcPr>
          <w:p w14:paraId="0462203A" w14:textId="77777777" w:rsidR="00A334D0" w:rsidRDefault="00A334D0" w:rsidP="00A67E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PYB</w:t>
            </w:r>
          </w:p>
        </w:tc>
        <w:tc>
          <w:tcPr>
            <w:tcW w:w="821" w:type="pct"/>
          </w:tcPr>
          <w:p w14:paraId="437B0E23" w14:textId="77777777" w:rsidR="00A334D0" w:rsidRDefault="00854402" w:rsidP="00A67E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Price</w:t>
            </w:r>
          </w:p>
        </w:tc>
        <w:tc>
          <w:tcPr>
            <w:tcW w:w="932" w:type="pct"/>
          </w:tcPr>
          <w:p w14:paraId="62DA2FFA" w14:textId="77777777" w:rsidR="00A334D0" w:rsidRDefault="00A334D0" w:rsidP="00A67E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Rent</w:t>
            </w:r>
          </w:p>
        </w:tc>
      </w:tr>
      <w:tr w:rsidR="00A334D0" w14:paraId="67658A4B" w14:textId="77777777" w:rsidTr="00435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noWrap/>
          </w:tcPr>
          <w:p w14:paraId="38ADCC4A" w14:textId="77777777" w:rsidR="00A334D0" w:rsidRDefault="00A334D0" w:rsidP="00A67EF7">
            <w:pPr>
              <w:rPr>
                <w:rFonts w:asciiTheme="minorHAnsi" w:eastAsiaTheme="minorEastAsia" w:hAnsiTheme="minorHAnsi" w:cstheme="minorBidi"/>
                <w:color w:val="auto"/>
              </w:rPr>
            </w:pPr>
            <w:r>
              <w:rPr>
                <w:rFonts w:asciiTheme="minorHAnsi" w:eastAsiaTheme="minorEastAsia" w:hAnsiTheme="minorHAnsi" w:cstheme="minorBidi"/>
                <w:color w:val="auto"/>
              </w:rPr>
              <w:t>Previous</w:t>
            </w:r>
          </w:p>
        </w:tc>
        <w:tc>
          <w:tcPr>
            <w:tcW w:w="819" w:type="pct"/>
          </w:tcPr>
          <w:p w14:paraId="7E830839" w14:textId="77777777" w:rsidR="00A334D0" w:rsidRDefault="008F1E09" w:rsidP="00A67EF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2.91</w:t>
            </w:r>
          </w:p>
        </w:tc>
        <w:tc>
          <w:tcPr>
            <w:tcW w:w="819" w:type="pct"/>
          </w:tcPr>
          <w:p w14:paraId="03DF6EA4" w14:textId="77777777" w:rsidR="00A334D0" w:rsidRDefault="008F1E09" w:rsidP="004358A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-£46,939</w:t>
            </w:r>
          </w:p>
        </w:tc>
        <w:tc>
          <w:tcPr>
            <w:tcW w:w="820" w:type="pct"/>
          </w:tcPr>
          <w:p w14:paraId="2DA44DD7" w14:textId="77777777" w:rsidR="00A334D0" w:rsidRDefault="008F1E09" w:rsidP="00A67EF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76</w:t>
            </w:r>
          </w:p>
        </w:tc>
        <w:tc>
          <w:tcPr>
            <w:tcW w:w="821" w:type="pct"/>
          </w:tcPr>
          <w:p w14:paraId="134AF6CB" w14:textId="77777777" w:rsidR="00A334D0" w:rsidRDefault="008F1E09" w:rsidP="00A67EF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£525,000</w:t>
            </w:r>
          </w:p>
        </w:tc>
        <w:tc>
          <w:tcPr>
            <w:tcW w:w="932" w:type="pct"/>
          </w:tcPr>
          <w:p w14:paraId="3DEA7A60" w14:textId="77777777" w:rsidR="00A334D0" w:rsidRDefault="00DF294B" w:rsidP="0085440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854402">
              <w:rPr>
                <w:rFonts w:asciiTheme="minorHAnsi" w:eastAsiaTheme="minorEastAsia" w:hAnsiTheme="minorHAnsi" w:cstheme="minorBidi"/>
                <w:color w:val="auto"/>
              </w:rPr>
              <w:t>169.86</w:t>
            </w:r>
          </w:p>
        </w:tc>
      </w:tr>
      <w:tr w:rsidR="00A334D0" w14:paraId="0A32811C" w14:textId="77777777" w:rsidTr="004358A2">
        <w:tc>
          <w:tcPr>
            <w:cnfStyle w:val="001000000000" w:firstRow="0" w:lastRow="0" w:firstColumn="1" w:lastColumn="0" w:oddVBand="0" w:evenVBand="0" w:oddHBand="0" w:evenHBand="0" w:firstRowFirstColumn="0" w:firstRowLastColumn="0" w:lastRowFirstColumn="0" w:lastRowLastColumn="0"/>
            <w:tcW w:w="788" w:type="pct"/>
            <w:noWrap/>
          </w:tcPr>
          <w:p w14:paraId="3D773BC8" w14:textId="77777777" w:rsidR="00A334D0" w:rsidRDefault="00A334D0" w:rsidP="00A67EF7">
            <w:pPr>
              <w:rPr>
                <w:rFonts w:asciiTheme="minorHAnsi" w:eastAsiaTheme="minorEastAsia" w:hAnsiTheme="minorHAnsi" w:cstheme="minorBidi"/>
                <w:color w:val="auto"/>
              </w:rPr>
            </w:pPr>
            <w:r>
              <w:rPr>
                <w:rFonts w:asciiTheme="minorHAnsi" w:eastAsiaTheme="minorEastAsia" w:hAnsiTheme="minorHAnsi" w:cstheme="minorBidi"/>
                <w:color w:val="auto"/>
              </w:rPr>
              <w:t>New</w:t>
            </w:r>
          </w:p>
        </w:tc>
        <w:tc>
          <w:tcPr>
            <w:tcW w:w="819" w:type="pct"/>
          </w:tcPr>
          <w:p w14:paraId="223D4E03" w14:textId="77777777" w:rsidR="00A334D0" w:rsidRDefault="008F1E09" w:rsidP="00A334D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3.52</w:t>
            </w:r>
          </w:p>
        </w:tc>
        <w:tc>
          <w:tcPr>
            <w:tcW w:w="819" w:type="pct"/>
          </w:tcPr>
          <w:p w14:paraId="24E68137" w14:textId="701E5CD0" w:rsidR="00A334D0" w:rsidRDefault="008F1E09" w:rsidP="00687AF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687AF7">
              <w:rPr>
                <w:rFonts w:asciiTheme="minorHAnsi" w:eastAsiaTheme="minorEastAsia" w:hAnsiTheme="minorHAnsi" w:cstheme="minorBidi"/>
                <w:color w:val="auto"/>
              </w:rPr>
              <w:t>1,240</w:t>
            </w:r>
          </w:p>
        </w:tc>
        <w:tc>
          <w:tcPr>
            <w:tcW w:w="820" w:type="pct"/>
          </w:tcPr>
          <w:p w14:paraId="39F7D055" w14:textId="77777777" w:rsidR="00A334D0" w:rsidRDefault="008F1E09" w:rsidP="00A67EF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60</w:t>
            </w:r>
          </w:p>
        </w:tc>
        <w:tc>
          <w:tcPr>
            <w:tcW w:w="821" w:type="pct"/>
          </w:tcPr>
          <w:p w14:paraId="73000CF1" w14:textId="36FA099F" w:rsidR="00A334D0" w:rsidRDefault="008F1E09" w:rsidP="0085440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4727E6">
              <w:rPr>
                <w:rFonts w:asciiTheme="minorHAnsi" w:eastAsiaTheme="minorEastAsia" w:hAnsiTheme="minorHAnsi" w:cstheme="minorBidi"/>
                <w:color w:val="auto"/>
              </w:rPr>
              <w:t>286,800</w:t>
            </w:r>
          </w:p>
        </w:tc>
        <w:tc>
          <w:tcPr>
            <w:tcW w:w="932" w:type="pct"/>
          </w:tcPr>
          <w:p w14:paraId="63FD5F00" w14:textId="77777777" w:rsidR="00A334D0" w:rsidRDefault="00DF294B" w:rsidP="00A67EF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£169.86</w:t>
            </w:r>
          </w:p>
        </w:tc>
      </w:tr>
    </w:tbl>
    <w:p w14:paraId="5CA24AC3" w14:textId="77777777" w:rsidR="0040736F" w:rsidRPr="00E926D6" w:rsidRDefault="002329CF" w:rsidP="004A6D2F">
      <w:pPr>
        <w:pStyle w:val="Heading1"/>
        <w:rPr>
          <w:rFonts w:cs="Arial"/>
        </w:rPr>
      </w:pPr>
      <w:r w:rsidRPr="00E926D6">
        <w:rPr>
          <w:rFonts w:cs="Arial"/>
        </w:rPr>
        <w:lastRenderedPageBreak/>
        <w:t>Financial implications</w:t>
      </w:r>
    </w:p>
    <w:p w14:paraId="7EE0D290" w14:textId="1D313774" w:rsidR="00330206" w:rsidRPr="00D44916" w:rsidRDefault="00852B0E" w:rsidP="004065C4">
      <w:pPr>
        <w:pStyle w:val="ListParagraph"/>
        <w:numPr>
          <w:ilvl w:val="0"/>
          <w:numId w:val="48"/>
        </w:numPr>
        <w:rPr>
          <w:rFonts w:cs="Arial"/>
          <w:b/>
          <w:color w:val="auto"/>
        </w:rPr>
      </w:pPr>
      <w:r w:rsidRPr="00E926D6">
        <w:rPr>
          <w:rFonts w:cs="Arial"/>
        </w:rPr>
        <w:t>The</w:t>
      </w:r>
      <w:r w:rsidR="00583B9F" w:rsidRPr="00E926D6">
        <w:rPr>
          <w:rFonts w:cs="Arial"/>
        </w:rPr>
        <w:t xml:space="preserve"> financial implications are set out in the body of the report.</w:t>
      </w:r>
    </w:p>
    <w:p w14:paraId="11FAD993" w14:textId="77777777" w:rsidR="0040736F" w:rsidRDefault="00DA614B" w:rsidP="001E3D33">
      <w:pPr>
        <w:rPr>
          <w:rFonts w:cs="Arial"/>
          <w:b/>
          <w:color w:val="auto"/>
        </w:rPr>
      </w:pPr>
      <w:r w:rsidRPr="00E926D6">
        <w:rPr>
          <w:rFonts w:cs="Arial"/>
          <w:b/>
          <w:color w:val="auto"/>
        </w:rPr>
        <w:t>Legal issues</w:t>
      </w:r>
    </w:p>
    <w:p w14:paraId="3D4A4F08" w14:textId="77777777" w:rsidR="0032548F" w:rsidRPr="0032548F" w:rsidRDefault="0032548F" w:rsidP="004065C4">
      <w:pPr>
        <w:pStyle w:val="ListParagraph"/>
        <w:numPr>
          <w:ilvl w:val="0"/>
          <w:numId w:val="48"/>
        </w:numPr>
        <w:rPr>
          <w:rFonts w:cs="Arial"/>
          <w:color w:val="auto"/>
        </w:rPr>
      </w:pPr>
      <w:r w:rsidRPr="0032548F">
        <w:rPr>
          <w:rFonts w:cs="Arial"/>
          <w:color w:val="auto"/>
        </w:rPr>
        <w:t xml:space="preserve">The sale will be by way of legal transfer from </w:t>
      </w:r>
      <w:proofErr w:type="gramStart"/>
      <w:r w:rsidRPr="0032548F">
        <w:rPr>
          <w:rFonts w:cs="Arial"/>
          <w:color w:val="auto"/>
        </w:rPr>
        <w:t>OCH(</w:t>
      </w:r>
      <w:proofErr w:type="gramEnd"/>
      <w:r w:rsidRPr="0032548F">
        <w:rPr>
          <w:rFonts w:cs="Arial"/>
          <w:color w:val="auto"/>
        </w:rPr>
        <w:t>D)L to OCC.</w:t>
      </w:r>
    </w:p>
    <w:p w14:paraId="725CFB2A" w14:textId="265A8DC4" w:rsidR="0032548F" w:rsidRPr="0032548F" w:rsidRDefault="0032548F" w:rsidP="004065C4">
      <w:pPr>
        <w:pStyle w:val="ListParagraph"/>
        <w:numPr>
          <w:ilvl w:val="0"/>
          <w:numId w:val="48"/>
        </w:numPr>
        <w:rPr>
          <w:rFonts w:cs="Arial"/>
          <w:color w:val="auto"/>
        </w:rPr>
      </w:pPr>
      <w:r w:rsidRPr="0032548F">
        <w:rPr>
          <w:rFonts w:cs="Arial"/>
          <w:color w:val="auto"/>
        </w:rPr>
        <w:t xml:space="preserve">OCC will need to pay £478,000 on handover. This is accounted for in the HRA version of the </w:t>
      </w:r>
      <w:proofErr w:type="spellStart"/>
      <w:r w:rsidRPr="0032548F">
        <w:rPr>
          <w:rFonts w:cs="Arial"/>
          <w:color w:val="auto"/>
        </w:rPr>
        <w:t>Abovo</w:t>
      </w:r>
      <w:proofErr w:type="spellEnd"/>
      <w:r w:rsidRPr="0032548F">
        <w:rPr>
          <w:rFonts w:cs="Arial"/>
          <w:color w:val="auto"/>
        </w:rPr>
        <w:t xml:space="preserve"> appraisal, and can be done within parameters set by </w:t>
      </w:r>
      <w:r>
        <w:rPr>
          <w:rFonts w:cs="Arial"/>
          <w:color w:val="auto"/>
        </w:rPr>
        <w:t>the Council</w:t>
      </w:r>
      <w:r w:rsidRPr="0032548F">
        <w:rPr>
          <w:rFonts w:cs="Arial"/>
          <w:color w:val="auto"/>
        </w:rPr>
        <w:t>.</w:t>
      </w:r>
    </w:p>
    <w:p w14:paraId="546C499A" w14:textId="77777777" w:rsidR="002329CF" w:rsidRPr="00E926D6" w:rsidRDefault="002329CF" w:rsidP="004A6D2F">
      <w:pPr>
        <w:pStyle w:val="Heading1"/>
        <w:rPr>
          <w:rFonts w:cs="Arial"/>
          <w:color w:val="auto"/>
        </w:rPr>
      </w:pPr>
      <w:r w:rsidRPr="00E926D6">
        <w:rPr>
          <w:rFonts w:cs="Arial"/>
          <w:color w:val="auto"/>
        </w:rPr>
        <w:t>Level of risk</w:t>
      </w:r>
    </w:p>
    <w:p w14:paraId="7DFFDE4F" w14:textId="3A29D651" w:rsidR="00281937" w:rsidRDefault="00D228D3" w:rsidP="004065C4">
      <w:pPr>
        <w:pStyle w:val="ListParagraph"/>
        <w:numPr>
          <w:ilvl w:val="0"/>
          <w:numId w:val="48"/>
        </w:numPr>
        <w:rPr>
          <w:rFonts w:cs="Arial"/>
          <w:color w:val="auto"/>
        </w:rPr>
      </w:pPr>
      <w:r w:rsidRPr="0032548F">
        <w:rPr>
          <w:rFonts w:cs="Arial"/>
          <w:color w:val="auto"/>
        </w:rPr>
        <w:t xml:space="preserve">The significant risk is that the </w:t>
      </w:r>
      <w:r w:rsidR="00583B9F" w:rsidRPr="0032548F">
        <w:rPr>
          <w:rFonts w:cs="Arial"/>
          <w:color w:val="auto"/>
        </w:rPr>
        <w:t>HRA may pay too much for t</w:t>
      </w:r>
      <w:r w:rsidR="00E63939" w:rsidRPr="0032548F">
        <w:rPr>
          <w:rFonts w:cs="Arial"/>
          <w:color w:val="auto"/>
        </w:rPr>
        <w:t>his home considering the income stream</w:t>
      </w:r>
      <w:r w:rsidR="00583B9F" w:rsidRPr="0032548F">
        <w:rPr>
          <w:rFonts w:cs="Arial"/>
          <w:color w:val="auto"/>
        </w:rPr>
        <w:t xml:space="preserve"> – this has been </w:t>
      </w:r>
      <w:r w:rsidR="00006924" w:rsidRPr="0032548F">
        <w:rPr>
          <w:rFonts w:cs="Arial"/>
          <w:color w:val="auto"/>
        </w:rPr>
        <w:t>mitigated</w:t>
      </w:r>
      <w:r w:rsidR="00583B9F" w:rsidRPr="0032548F">
        <w:rPr>
          <w:rFonts w:cs="Arial"/>
          <w:color w:val="auto"/>
        </w:rPr>
        <w:t xml:space="preserve"> by carrying out a detailed viability analysis</w:t>
      </w:r>
      <w:r w:rsidRPr="0032548F">
        <w:rPr>
          <w:rFonts w:cs="Arial"/>
          <w:color w:val="auto"/>
        </w:rPr>
        <w:t xml:space="preserve"> </w:t>
      </w:r>
      <w:r w:rsidR="00583B9F" w:rsidRPr="0032548F">
        <w:rPr>
          <w:rFonts w:cs="Arial"/>
          <w:color w:val="auto"/>
        </w:rPr>
        <w:t>using the HRA Business Plan appraisal software, Abovo, which has demonstrated a financial performance within required parameters.</w:t>
      </w:r>
    </w:p>
    <w:p w14:paraId="70F74D12" w14:textId="1B030C1A" w:rsidR="001F4388" w:rsidRPr="0032548F" w:rsidRDefault="001F4388" w:rsidP="001F4388">
      <w:pPr>
        <w:pStyle w:val="ListParagraph"/>
        <w:numPr>
          <w:ilvl w:val="0"/>
          <w:numId w:val="48"/>
        </w:numPr>
        <w:rPr>
          <w:rFonts w:cs="Arial"/>
          <w:color w:val="auto"/>
        </w:rPr>
      </w:pPr>
      <w:r>
        <w:rPr>
          <w:rFonts w:cs="Arial"/>
          <w:color w:val="auto"/>
        </w:rPr>
        <w:t xml:space="preserve"> A</w:t>
      </w:r>
      <w:r w:rsidRPr="001F4388">
        <w:rPr>
          <w:rFonts w:cs="Arial"/>
          <w:color w:val="auto"/>
        </w:rPr>
        <w:t xml:space="preserve">s stated </w:t>
      </w:r>
      <w:r>
        <w:rPr>
          <w:rFonts w:cs="Arial"/>
          <w:color w:val="auto"/>
        </w:rPr>
        <w:t xml:space="preserve">in the report </w:t>
      </w:r>
      <w:r w:rsidRPr="001F4388">
        <w:rPr>
          <w:rFonts w:cs="Arial"/>
          <w:color w:val="auto"/>
        </w:rPr>
        <w:t xml:space="preserve">above, the </w:t>
      </w:r>
      <w:r>
        <w:rPr>
          <w:rFonts w:cs="Arial"/>
          <w:color w:val="auto"/>
        </w:rPr>
        <w:t xml:space="preserve">purchase price </w:t>
      </w:r>
      <w:r w:rsidRPr="001F4388">
        <w:rPr>
          <w:rFonts w:cs="Arial"/>
          <w:color w:val="auto"/>
        </w:rPr>
        <w:t xml:space="preserve">is reduced against </w:t>
      </w:r>
      <w:r>
        <w:rPr>
          <w:rFonts w:cs="Arial"/>
          <w:color w:val="auto"/>
        </w:rPr>
        <w:t xml:space="preserve">the open </w:t>
      </w:r>
      <w:r w:rsidRPr="001F4388">
        <w:rPr>
          <w:rFonts w:cs="Arial"/>
          <w:color w:val="auto"/>
        </w:rPr>
        <w:t>market value</w:t>
      </w:r>
      <w:r>
        <w:rPr>
          <w:rFonts w:cs="Arial"/>
          <w:color w:val="auto"/>
        </w:rPr>
        <w:t>.</w:t>
      </w:r>
    </w:p>
    <w:p w14:paraId="6A0BF4C1" w14:textId="23B69CC2" w:rsidR="0032548F" w:rsidRDefault="0032548F" w:rsidP="0032548F">
      <w:pPr>
        <w:pStyle w:val="ListParagraph"/>
        <w:numPr>
          <w:ilvl w:val="0"/>
          <w:numId w:val="0"/>
        </w:numPr>
        <w:rPr>
          <w:rFonts w:cs="Arial"/>
          <w:b/>
          <w:color w:val="auto"/>
        </w:rPr>
      </w:pPr>
      <w:r>
        <w:rPr>
          <w:rFonts w:cs="Arial"/>
          <w:b/>
          <w:color w:val="auto"/>
        </w:rPr>
        <w:t>Conclusion</w:t>
      </w:r>
    </w:p>
    <w:p w14:paraId="510E1132" w14:textId="667D1C78" w:rsidR="0032548F" w:rsidRDefault="0032548F" w:rsidP="004065C4">
      <w:pPr>
        <w:pStyle w:val="ListParagraph"/>
        <w:numPr>
          <w:ilvl w:val="0"/>
          <w:numId w:val="48"/>
        </w:numPr>
        <w:rPr>
          <w:rFonts w:cs="Arial"/>
          <w:color w:val="auto"/>
        </w:rPr>
      </w:pPr>
      <w:r w:rsidRPr="0032548F">
        <w:rPr>
          <w:rFonts w:cs="Arial"/>
          <w:color w:val="auto"/>
        </w:rPr>
        <w:t xml:space="preserve">That </w:t>
      </w:r>
      <w:r w:rsidR="00DD5B73">
        <w:rPr>
          <w:rFonts w:cs="Arial"/>
          <w:color w:val="auto"/>
        </w:rPr>
        <w:t xml:space="preserve">the </w:t>
      </w:r>
      <w:r w:rsidR="00DD5B73" w:rsidRPr="00DD5B73">
        <w:rPr>
          <w:rFonts w:cs="Arial"/>
          <w:color w:val="auto"/>
        </w:rPr>
        <w:t>Executive Director for Communities and People</w:t>
      </w:r>
      <w:r w:rsidRPr="0032548F">
        <w:rPr>
          <w:rFonts w:cs="Arial"/>
          <w:color w:val="auto"/>
        </w:rPr>
        <w:t xml:space="preserve"> should authorise the </w:t>
      </w:r>
      <w:r w:rsidR="00DD5B73">
        <w:rPr>
          <w:rFonts w:cs="Arial"/>
          <w:color w:val="auto"/>
        </w:rPr>
        <w:t xml:space="preserve">purchase </w:t>
      </w:r>
      <w:r w:rsidRPr="0032548F">
        <w:rPr>
          <w:rFonts w:cs="Arial"/>
          <w:color w:val="auto"/>
        </w:rPr>
        <w:t xml:space="preserve">of 16 </w:t>
      </w:r>
      <w:proofErr w:type="spellStart"/>
      <w:r w:rsidRPr="0032548F">
        <w:rPr>
          <w:rFonts w:cs="Arial"/>
          <w:color w:val="auto"/>
        </w:rPr>
        <w:t>Sparsey</w:t>
      </w:r>
      <w:proofErr w:type="spellEnd"/>
      <w:r w:rsidRPr="0032548F">
        <w:rPr>
          <w:rFonts w:cs="Arial"/>
          <w:color w:val="auto"/>
        </w:rPr>
        <w:t xml:space="preserve"> Place under the terms shown above which offers the best outcomes for OCHL and the HRA </w:t>
      </w:r>
      <w:r w:rsidR="00DD5B73">
        <w:rPr>
          <w:rFonts w:cs="Arial"/>
          <w:color w:val="auto"/>
        </w:rPr>
        <w:t xml:space="preserve">and </w:t>
      </w:r>
      <w:r w:rsidRPr="0032548F">
        <w:rPr>
          <w:rFonts w:cs="Arial"/>
          <w:color w:val="auto"/>
        </w:rPr>
        <w:t>in light of the requirement to quickly bring this home in to use.</w:t>
      </w:r>
    </w:p>
    <w:p w14:paraId="50DE5A42" w14:textId="77777777" w:rsidR="00A52241" w:rsidRPr="00A52241" w:rsidRDefault="00A52241" w:rsidP="00A52241">
      <w:pPr>
        <w:ind w:left="142"/>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845B6" w:rsidRPr="00E926D6" w14:paraId="453C3556" w14:textId="77777777" w:rsidTr="002B2F8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C007CC0" w14:textId="77777777" w:rsidR="002B5084" w:rsidRPr="00E926D6" w:rsidRDefault="002B5084" w:rsidP="002B2F8C">
            <w:pPr>
              <w:rPr>
                <w:rFonts w:cs="Arial"/>
                <w:b/>
                <w:color w:val="auto"/>
              </w:rPr>
            </w:pPr>
            <w:r w:rsidRPr="00E926D6">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9BEBBED" w14:textId="77777777" w:rsidR="002B5084" w:rsidRPr="00E926D6" w:rsidRDefault="00E926D6" w:rsidP="002B2F8C">
            <w:pPr>
              <w:rPr>
                <w:rFonts w:cs="Arial"/>
                <w:color w:val="auto"/>
              </w:rPr>
            </w:pPr>
            <w:r>
              <w:rPr>
                <w:rFonts w:cs="Arial"/>
                <w:color w:val="auto"/>
              </w:rPr>
              <w:t>Allison Dalton</w:t>
            </w:r>
          </w:p>
        </w:tc>
      </w:tr>
      <w:tr w:rsidR="00B845B6" w:rsidRPr="00E926D6" w14:paraId="675F8C6A" w14:textId="77777777" w:rsidTr="002B00E8">
        <w:trPr>
          <w:cantSplit/>
          <w:trHeight w:val="396"/>
        </w:trPr>
        <w:tc>
          <w:tcPr>
            <w:tcW w:w="3969" w:type="dxa"/>
            <w:tcBorders>
              <w:top w:val="single" w:sz="8" w:space="0" w:color="000000"/>
              <w:left w:val="single" w:sz="8" w:space="0" w:color="000000"/>
              <w:bottom w:val="nil"/>
              <w:right w:val="nil"/>
            </w:tcBorders>
            <w:shd w:val="clear" w:color="auto" w:fill="auto"/>
          </w:tcPr>
          <w:p w14:paraId="31D6ED99" w14:textId="77777777" w:rsidR="002B5084" w:rsidRPr="00E926D6" w:rsidRDefault="002B5084" w:rsidP="002B2F8C">
            <w:pPr>
              <w:rPr>
                <w:rFonts w:cs="Arial"/>
                <w:color w:val="auto"/>
              </w:rPr>
            </w:pPr>
            <w:r w:rsidRPr="00E926D6">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14:paraId="1D65D9C1" w14:textId="1001485C" w:rsidR="002B00E8" w:rsidRPr="00E926D6" w:rsidRDefault="00583B9F" w:rsidP="00E926D6">
            <w:pPr>
              <w:rPr>
                <w:rFonts w:cs="Arial"/>
                <w:color w:val="auto"/>
              </w:rPr>
            </w:pPr>
            <w:r w:rsidRPr="00E926D6">
              <w:rPr>
                <w:rFonts w:cs="Arial"/>
                <w:color w:val="auto"/>
              </w:rPr>
              <w:t xml:space="preserve">Housing Development and </w:t>
            </w:r>
            <w:r w:rsidR="00E926D6">
              <w:rPr>
                <w:rFonts w:cs="Arial"/>
                <w:color w:val="auto"/>
              </w:rPr>
              <w:t>Regen Officer</w:t>
            </w:r>
            <w:r w:rsidR="00A52241">
              <w:rPr>
                <w:rFonts w:cs="Arial"/>
                <w:color w:val="auto"/>
              </w:rPr>
              <w:t xml:space="preserve"> for Oxford City Council</w:t>
            </w:r>
          </w:p>
        </w:tc>
      </w:tr>
      <w:tr w:rsidR="002B5084" w:rsidRPr="00E926D6" w14:paraId="33611B08" w14:textId="77777777" w:rsidTr="002B2F8C">
        <w:trPr>
          <w:cantSplit/>
          <w:trHeight w:val="396"/>
        </w:trPr>
        <w:tc>
          <w:tcPr>
            <w:tcW w:w="3969" w:type="dxa"/>
            <w:tcBorders>
              <w:top w:val="nil"/>
              <w:left w:val="single" w:sz="8" w:space="0" w:color="000000"/>
              <w:bottom w:val="nil"/>
              <w:right w:val="nil"/>
            </w:tcBorders>
            <w:shd w:val="clear" w:color="auto" w:fill="auto"/>
          </w:tcPr>
          <w:p w14:paraId="579AAD67" w14:textId="77777777" w:rsidR="002B5084" w:rsidRPr="00E926D6" w:rsidRDefault="002B5084" w:rsidP="002B2F8C">
            <w:pPr>
              <w:rPr>
                <w:rFonts w:cs="Arial"/>
                <w:color w:val="auto"/>
              </w:rPr>
            </w:pPr>
            <w:r w:rsidRPr="00E926D6">
              <w:rPr>
                <w:rFonts w:cs="Arial"/>
                <w:color w:val="auto"/>
              </w:rPr>
              <w:t>Service area or department</w:t>
            </w:r>
          </w:p>
        </w:tc>
        <w:tc>
          <w:tcPr>
            <w:tcW w:w="4962" w:type="dxa"/>
            <w:tcBorders>
              <w:top w:val="nil"/>
              <w:left w:val="nil"/>
              <w:bottom w:val="nil"/>
              <w:right w:val="single" w:sz="8" w:space="0" w:color="000000"/>
            </w:tcBorders>
            <w:shd w:val="clear" w:color="auto" w:fill="auto"/>
          </w:tcPr>
          <w:p w14:paraId="63FB1BA9" w14:textId="77777777" w:rsidR="002B5084" w:rsidRPr="00E926D6" w:rsidRDefault="00E926D6" w:rsidP="002B00E8">
            <w:pPr>
              <w:rPr>
                <w:rFonts w:cs="Arial"/>
                <w:color w:val="auto"/>
              </w:rPr>
            </w:pPr>
            <w:r>
              <w:rPr>
                <w:rFonts w:cs="Arial"/>
                <w:color w:val="auto"/>
              </w:rPr>
              <w:t>Regeneration &amp; Economy</w:t>
            </w:r>
          </w:p>
        </w:tc>
      </w:tr>
      <w:tr w:rsidR="002B5084" w:rsidRPr="00E926D6" w14:paraId="1D19CC1D" w14:textId="77777777" w:rsidTr="00C66AB8">
        <w:trPr>
          <w:cantSplit/>
          <w:trHeight w:val="396"/>
        </w:trPr>
        <w:tc>
          <w:tcPr>
            <w:tcW w:w="3969" w:type="dxa"/>
            <w:tcBorders>
              <w:top w:val="nil"/>
              <w:left w:val="single" w:sz="8" w:space="0" w:color="000000"/>
              <w:bottom w:val="nil"/>
              <w:right w:val="nil"/>
            </w:tcBorders>
            <w:shd w:val="clear" w:color="auto" w:fill="auto"/>
          </w:tcPr>
          <w:p w14:paraId="2F56C651" w14:textId="77777777" w:rsidR="002B5084" w:rsidRPr="00E926D6" w:rsidRDefault="002B5084" w:rsidP="002B2F8C">
            <w:pPr>
              <w:rPr>
                <w:rFonts w:cs="Arial"/>
                <w:color w:val="auto"/>
              </w:rPr>
            </w:pPr>
            <w:r w:rsidRPr="00E926D6">
              <w:rPr>
                <w:rFonts w:cs="Arial"/>
                <w:color w:val="auto"/>
              </w:rPr>
              <w:t xml:space="preserve">Telephone </w:t>
            </w:r>
          </w:p>
        </w:tc>
        <w:tc>
          <w:tcPr>
            <w:tcW w:w="4962" w:type="dxa"/>
            <w:tcBorders>
              <w:top w:val="nil"/>
              <w:left w:val="nil"/>
              <w:bottom w:val="nil"/>
              <w:right w:val="single" w:sz="8" w:space="0" w:color="000000"/>
            </w:tcBorders>
            <w:shd w:val="clear" w:color="auto" w:fill="auto"/>
          </w:tcPr>
          <w:p w14:paraId="2F02E50C" w14:textId="77777777" w:rsidR="002B5084" w:rsidRPr="00E926D6" w:rsidRDefault="00BB63F9" w:rsidP="00E926D6">
            <w:pPr>
              <w:rPr>
                <w:rFonts w:cs="Arial"/>
                <w:color w:val="auto"/>
              </w:rPr>
            </w:pPr>
            <w:r w:rsidRPr="00E926D6">
              <w:rPr>
                <w:rFonts w:cs="Arial"/>
                <w:color w:val="auto"/>
              </w:rPr>
              <w:t>01865</w:t>
            </w:r>
            <w:r w:rsidR="008776E2" w:rsidRPr="00E926D6">
              <w:rPr>
                <w:rFonts w:cs="Arial"/>
                <w:color w:val="auto"/>
              </w:rPr>
              <w:t xml:space="preserve"> </w:t>
            </w:r>
            <w:r w:rsidRPr="00E926D6">
              <w:rPr>
                <w:rFonts w:cs="Arial"/>
                <w:color w:val="auto"/>
              </w:rPr>
              <w:t>252</w:t>
            </w:r>
            <w:r w:rsidR="00E926D6">
              <w:rPr>
                <w:rFonts w:cs="Arial"/>
                <w:color w:val="auto"/>
              </w:rPr>
              <w:t>801</w:t>
            </w:r>
          </w:p>
        </w:tc>
      </w:tr>
      <w:tr w:rsidR="002B5084" w:rsidRPr="00E926D6" w14:paraId="72B8E996" w14:textId="77777777" w:rsidTr="00C66AB8">
        <w:trPr>
          <w:cantSplit/>
          <w:trHeight w:val="396"/>
        </w:trPr>
        <w:tc>
          <w:tcPr>
            <w:tcW w:w="3969" w:type="dxa"/>
            <w:tcBorders>
              <w:top w:val="nil"/>
              <w:left w:val="single" w:sz="8" w:space="0" w:color="000000"/>
              <w:bottom w:val="single" w:sz="8" w:space="0" w:color="000000"/>
              <w:right w:val="nil"/>
            </w:tcBorders>
            <w:shd w:val="clear" w:color="auto" w:fill="auto"/>
          </w:tcPr>
          <w:p w14:paraId="01B82458" w14:textId="77777777" w:rsidR="002B5084" w:rsidRPr="00E926D6" w:rsidRDefault="002B5084" w:rsidP="002B2F8C">
            <w:pPr>
              <w:rPr>
                <w:rFonts w:cs="Arial"/>
                <w:color w:val="auto"/>
              </w:rPr>
            </w:pPr>
            <w:r w:rsidRPr="00E926D6">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1056F31A" w14:textId="77777777" w:rsidR="002B5084" w:rsidRPr="00E926D6" w:rsidRDefault="00C66AB8" w:rsidP="00E926D6">
            <w:pPr>
              <w:rPr>
                <w:rStyle w:val="Hyperlink"/>
                <w:rFonts w:cs="Arial"/>
                <w:color w:val="auto"/>
                <w:u w:val="none"/>
              </w:rPr>
            </w:pPr>
            <w:hyperlink r:id="rId8" w:history="1">
              <w:r w:rsidR="00E926D6" w:rsidRPr="00AE0F11">
                <w:rPr>
                  <w:rStyle w:val="Hyperlink"/>
                  <w:rFonts w:cs="Arial"/>
                </w:rPr>
                <w:t>adalton@oxford.gov.uk</w:t>
              </w:r>
            </w:hyperlink>
          </w:p>
        </w:tc>
      </w:tr>
    </w:tbl>
    <w:p w14:paraId="0499F60E" w14:textId="77777777" w:rsidR="00687AF7" w:rsidRDefault="00687AF7"/>
    <w:p w14:paraId="3AE618BA" w14:textId="77777777" w:rsidR="005177DE" w:rsidRPr="00E926D6" w:rsidRDefault="005177DE" w:rsidP="00487B27">
      <w:pPr>
        <w:rPr>
          <w:rFonts w:eastAsiaTheme="minorHAnsi" w:cs="Arial"/>
          <w:color w:val="auto"/>
          <w:lang w:eastAsia="en-US"/>
        </w:rPr>
      </w:pPr>
      <w:bookmarkStart w:id="0" w:name="_GoBack"/>
      <w:bookmarkEnd w:id="0"/>
    </w:p>
    <w:p w14:paraId="284F6D84" w14:textId="77777777" w:rsidR="00E64B24" w:rsidRPr="00E926D6" w:rsidRDefault="00E64B24" w:rsidP="00487B27">
      <w:pPr>
        <w:rPr>
          <w:rFonts w:eastAsiaTheme="minorHAnsi" w:cs="Arial"/>
          <w:color w:val="auto"/>
          <w:lang w:eastAsia="en-US"/>
        </w:rPr>
      </w:pPr>
    </w:p>
    <w:p w14:paraId="0A29218C" w14:textId="77777777" w:rsidR="00E64B24" w:rsidRPr="00E926D6" w:rsidRDefault="00E64B24" w:rsidP="00487B27">
      <w:pPr>
        <w:rPr>
          <w:rFonts w:eastAsiaTheme="minorHAnsi" w:cs="Arial"/>
          <w:color w:val="auto"/>
          <w:lang w:eastAsia="en-US"/>
        </w:rPr>
        <w:sectPr w:rsidR="00E64B24" w:rsidRPr="00E926D6" w:rsidSect="00687AF7">
          <w:footerReference w:type="even" r:id="rId9"/>
          <w:headerReference w:type="first" r:id="rId10"/>
          <w:footerReference w:type="first" r:id="rId11"/>
          <w:pgSz w:w="11906" w:h="16838" w:code="9"/>
          <w:pgMar w:top="1418" w:right="1304" w:bottom="993" w:left="1304" w:header="1134" w:footer="680" w:gutter="0"/>
          <w:cols w:space="708"/>
          <w:titlePg/>
          <w:docGrid w:linePitch="360"/>
        </w:sectPr>
      </w:pPr>
    </w:p>
    <w:p w14:paraId="66F89B00" w14:textId="77777777" w:rsidR="00281937" w:rsidRDefault="00281937" w:rsidP="00613A1F">
      <w:pPr>
        <w:ind w:left="567"/>
        <w:rPr>
          <w:rFonts w:eastAsiaTheme="minorHAnsi" w:cs="Arial"/>
          <w:color w:val="auto"/>
          <w:lang w:eastAsia="en-US"/>
        </w:rPr>
      </w:pPr>
      <w:r w:rsidRPr="00E926D6">
        <w:rPr>
          <w:rFonts w:eastAsiaTheme="minorHAnsi" w:cs="Arial"/>
          <w:color w:val="auto"/>
          <w:lang w:eastAsia="en-US"/>
        </w:rPr>
        <w:lastRenderedPageBreak/>
        <w:t>APPENDIX 1</w:t>
      </w:r>
    </w:p>
    <w:p w14:paraId="6A5F301B" w14:textId="77777777" w:rsidR="00DF294B" w:rsidRDefault="00613A1F" w:rsidP="00F605B4">
      <w:pPr>
        <w:ind w:firstLine="567"/>
        <w:rPr>
          <w:rFonts w:eastAsiaTheme="minorHAnsi" w:cs="Arial"/>
          <w:color w:val="auto"/>
          <w:lang w:eastAsia="en-US"/>
        </w:rPr>
      </w:pPr>
      <w:r>
        <w:rPr>
          <w:rFonts w:eastAsiaTheme="minorHAnsi" w:cs="Arial"/>
          <w:color w:val="auto"/>
          <w:lang w:eastAsia="en-US"/>
        </w:rPr>
        <w:t>Rev</w:t>
      </w:r>
      <w:r w:rsidR="00DF294B">
        <w:rPr>
          <w:rFonts w:eastAsiaTheme="minorHAnsi" w:cs="Arial"/>
          <w:color w:val="auto"/>
          <w:lang w:eastAsia="en-US"/>
        </w:rPr>
        <w:t>ised HRA DSA Assessment – Discount by OCHL and RRTBR</w:t>
      </w:r>
    </w:p>
    <w:p w14:paraId="60C5653B" w14:textId="4C6C1611" w:rsidR="004358A2" w:rsidRDefault="00DF294B" w:rsidP="00687AF7">
      <w:pPr>
        <w:ind w:left="567" w:firstLine="567"/>
        <w:rPr>
          <w:rFonts w:eastAsiaTheme="minorHAnsi" w:cs="Arial"/>
          <w:color w:val="auto"/>
          <w:lang w:eastAsia="en-US"/>
        </w:rPr>
      </w:pPr>
      <w:r>
        <w:rPr>
          <w:rFonts w:eastAsiaTheme="minorHAnsi" w:cs="Arial"/>
          <w:color w:val="auto"/>
          <w:lang w:eastAsia="en-US"/>
        </w:rPr>
        <w:t xml:space="preserve"> </w:t>
      </w:r>
      <w:r w:rsidR="00687AF7" w:rsidRPr="00687AF7">
        <w:rPr>
          <w:rFonts w:eastAsiaTheme="minorHAnsi" w:cs="Arial"/>
          <w:noProof/>
          <w:color w:val="auto"/>
        </w:rPr>
        <w:drawing>
          <wp:inline distT="0" distB="0" distL="0" distR="0" wp14:anchorId="23F06DB5" wp14:editId="7C2EC612">
            <wp:extent cx="6457241" cy="2446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180" cy="2450961"/>
                    </a:xfrm>
                    <a:prstGeom prst="rect">
                      <a:avLst/>
                    </a:prstGeom>
                    <a:noFill/>
                    <a:ln>
                      <a:noFill/>
                    </a:ln>
                  </pic:spPr>
                </pic:pic>
              </a:graphicData>
            </a:graphic>
          </wp:inline>
        </w:drawing>
      </w:r>
    </w:p>
    <w:p w14:paraId="0FC97814" w14:textId="77777777" w:rsidR="00DF294B" w:rsidRDefault="00DF294B" w:rsidP="00F605B4">
      <w:pPr>
        <w:ind w:firstLine="567"/>
        <w:rPr>
          <w:rFonts w:eastAsiaTheme="minorHAnsi" w:cs="Arial"/>
          <w:color w:val="auto"/>
          <w:lang w:eastAsia="en-US"/>
        </w:rPr>
      </w:pPr>
    </w:p>
    <w:p w14:paraId="3F106378" w14:textId="77777777" w:rsidR="00DF294B" w:rsidRDefault="00DF294B" w:rsidP="00F605B4">
      <w:pPr>
        <w:ind w:firstLine="567"/>
        <w:rPr>
          <w:rFonts w:eastAsiaTheme="minorHAnsi" w:cs="Arial"/>
          <w:color w:val="auto"/>
          <w:lang w:eastAsia="en-US"/>
        </w:rPr>
      </w:pPr>
    </w:p>
    <w:p w14:paraId="72C4C204" w14:textId="77777777" w:rsidR="00DF294B" w:rsidRDefault="00DF294B" w:rsidP="00F605B4">
      <w:pPr>
        <w:ind w:firstLine="567"/>
        <w:rPr>
          <w:rFonts w:eastAsiaTheme="minorHAnsi" w:cs="Arial"/>
          <w:color w:val="auto"/>
          <w:lang w:eastAsia="en-US"/>
        </w:rPr>
      </w:pPr>
    </w:p>
    <w:p w14:paraId="015401FA" w14:textId="77777777" w:rsidR="00DF294B" w:rsidRPr="00E926D6" w:rsidRDefault="00DF294B" w:rsidP="00F605B4">
      <w:pPr>
        <w:ind w:firstLine="567"/>
        <w:rPr>
          <w:rFonts w:eastAsiaTheme="minorHAnsi" w:cs="Arial"/>
          <w:color w:val="auto"/>
          <w:lang w:eastAsia="en-US"/>
        </w:rPr>
      </w:pPr>
    </w:p>
    <w:p w14:paraId="0EDC844D" w14:textId="77777777" w:rsidR="00E64B24" w:rsidRPr="00E926D6" w:rsidRDefault="00E64B24" w:rsidP="00613A1F">
      <w:pPr>
        <w:ind w:left="567"/>
        <w:rPr>
          <w:rFonts w:eastAsiaTheme="minorHAnsi" w:cs="Arial"/>
          <w:color w:val="auto"/>
          <w:lang w:eastAsia="en-US"/>
        </w:rPr>
      </w:pPr>
    </w:p>
    <w:sectPr w:rsidR="00E64B24" w:rsidRPr="00E926D6" w:rsidSect="00613A1F">
      <w:headerReference w:type="first" r:id="rId13"/>
      <w:pgSz w:w="11906" w:h="16838" w:code="9"/>
      <w:pgMar w:top="-1560" w:right="426" w:bottom="1134" w:left="15"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310A3" w14:textId="77777777" w:rsidR="00F5049C" w:rsidRDefault="00F5049C" w:rsidP="004A6D2F">
      <w:r>
        <w:separator/>
      </w:r>
    </w:p>
  </w:endnote>
  <w:endnote w:type="continuationSeparator" w:id="0">
    <w:p w14:paraId="5C97CA4D" w14:textId="77777777" w:rsidR="00F5049C" w:rsidRDefault="00F5049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2B13" w14:textId="77777777" w:rsidR="00364FAD" w:rsidRDefault="00364FAD" w:rsidP="004A6D2F">
    <w:pPr>
      <w:pStyle w:val="Footer"/>
    </w:pPr>
    <w:r>
      <w:t>Do not use a footer or page numbers.</w:t>
    </w:r>
  </w:p>
  <w:p w14:paraId="15255F9B" w14:textId="77777777" w:rsidR="00364FAD" w:rsidRDefault="00364FAD" w:rsidP="004A6D2F">
    <w:pPr>
      <w:pStyle w:val="Footer"/>
    </w:pPr>
  </w:p>
  <w:p w14:paraId="55D17FC5"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839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1C711" w14:textId="77777777" w:rsidR="00F5049C" w:rsidRDefault="00F5049C" w:rsidP="004A6D2F">
      <w:r>
        <w:separator/>
      </w:r>
    </w:p>
  </w:footnote>
  <w:footnote w:type="continuationSeparator" w:id="0">
    <w:p w14:paraId="649DD2F8" w14:textId="77777777" w:rsidR="00F5049C" w:rsidRDefault="00F5049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39D3" w14:textId="77777777" w:rsidR="00D5547E" w:rsidRDefault="00AD1F31" w:rsidP="00D5547E">
    <w:pPr>
      <w:pStyle w:val="Header"/>
      <w:jc w:val="right"/>
    </w:pPr>
    <w:r>
      <w:rPr>
        <w:noProof/>
      </w:rPr>
      <mc:AlternateContent>
        <mc:Choice Requires="wps">
          <w:drawing>
            <wp:anchor distT="0" distB="0" distL="114300" distR="114300" simplePos="0" relativeHeight="251659264" behindDoc="0" locked="0" layoutInCell="1" allowOverlap="1" wp14:anchorId="2B0D1E4F" wp14:editId="3150903F">
              <wp:simplePos x="0" y="0"/>
              <wp:positionH relativeFrom="column">
                <wp:posOffset>635</wp:posOffset>
              </wp:positionH>
              <wp:positionV relativeFrom="paragraph">
                <wp:posOffset>-348615</wp:posOffset>
              </wp:positionV>
              <wp:extent cx="4248784" cy="281304"/>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4" cy="281304"/>
                      </a:xfrm>
                      <a:prstGeom prst="rect">
                        <a:avLst/>
                      </a:prstGeom>
                      <a:solidFill>
                        <a:srgbClr val="FFFFFF"/>
                      </a:solidFill>
                      <a:ln w="9525">
                        <a:noFill/>
                        <a:miter lim="800000"/>
                        <a:headEnd/>
                        <a:tailEnd/>
                      </a:ln>
                    </wps:spPr>
                    <wps:txbx>
                      <w:txbxContent>
                        <w:p w14:paraId="087D368F" w14:textId="77777777" w:rsidR="00AD1F31" w:rsidRPr="00AD1F31" w:rsidRDefault="00AD1F31" w:rsidP="00613A1F">
                          <w:pPr>
                            <w:ind w:firstLine="720"/>
                            <w:rPr>
                              <w:sz w:val="32"/>
                              <w:szCs w:val="32"/>
                            </w:rPr>
                          </w:pPr>
                          <w:r w:rsidRPr="00AD1F31">
                            <w:rPr>
                              <w:sz w:val="32"/>
                              <w:szCs w:val="32"/>
                            </w:rPr>
                            <w:t>Officer Executive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D1E4F" id="_x0000_t202" coordsize="21600,21600" o:spt="202" path="m,l,21600r21600,l21600,xe">
              <v:stroke joinstyle="miter"/>
              <v:path gradientshapeok="t" o:connecttype="rect"/>
            </v:shapetype>
            <v:shape id="Text Box 2" o:spid="_x0000_s1026" type="#_x0000_t202" style="position:absolute;left:0;text-align:left;margin-left:.05pt;margin-top:-27.45pt;width:334.5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weIgIAAB0EAAAOAAAAZHJzL2Uyb0RvYy54bWysU9uO2yAQfa/Uf0C8N3a8Tj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" stroked="f">
              <v:textbox>
                <w:txbxContent>
                  <w:p w14:paraId="087D368F" w14:textId="77777777" w:rsidR="00AD1F31" w:rsidRPr="00AD1F31" w:rsidRDefault="00AD1F31" w:rsidP="00613A1F">
                    <w:pPr>
                      <w:ind w:firstLine="720"/>
                      <w:rPr>
                        <w:sz w:val="32"/>
                        <w:szCs w:val="32"/>
                      </w:rPr>
                    </w:pPr>
                    <w:r w:rsidRPr="00AD1F31">
                      <w:rPr>
                        <w:sz w:val="32"/>
                        <w:szCs w:val="32"/>
                      </w:rPr>
                      <w:t>Officer Executive Decision</w:t>
                    </w:r>
                  </w:p>
                </w:txbxContent>
              </v:textbox>
            </v:shape>
          </w:pict>
        </mc:Fallback>
      </mc:AlternateContent>
    </w:r>
    <w:r w:rsidR="00484329">
      <w:rPr>
        <w:noProof/>
      </w:rPr>
      <w:drawing>
        <wp:inline distT="0" distB="0" distL="0" distR="0" wp14:anchorId="7ABA88AA" wp14:editId="6119E268">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7AEB" w14:textId="77777777" w:rsidR="00613A1F" w:rsidRDefault="00613A1F" w:rsidP="00D5547E">
    <w:pPr>
      <w:pStyle w:val="Header"/>
      <w:jc w:val="right"/>
    </w:pPr>
    <w:r>
      <w:rPr>
        <w:noProof/>
      </w:rPr>
      <mc:AlternateContent>
        <mc:Choice Requires="wps">
          <w:drawing>
            <wp:anchor distT="0" distB="0" distL="114300" distR="114300" simplePos="0" relativeHeight="251661312" behindDoc="0" locked="0" layoutInCell="1" allowOverlap="1" wp14:anchorId="390FAB57" wp14:editId="292CF03D">
              <wp:simplePos x="0" y="0"/>
              <wp:positionH relativeFrom="column">
                <wp:posOffset>183515</wp:posOffset>
              </wp:positionH>
              <wp:positionV relativeFrom="paragraph">
                <wp:posOffset>581025</wp:posOffset>
              </wp:positionV>
              <wp:extent cx="4248784" cy="281304"/>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4" cy="281304"/>
                      </a:xfrm>
                      <a:prstGeom prst="rect">
                        <a:avLst/>
                      </a:prstGeom>
                      <a:solidFill>
                        <a:srgbClr val="FFFFFF"/>
                      </a:solidFill>
                      <a:ln w="9525">
                        <a:noFill/>
                        <a:miter lim="800000"/>
                        <a:headEnd/>
                        <a:tailEnd/>
                      </a:ln>
                    </wps:spPr>
                    <wps:txbx>
                      <w:txbxContent>
                        <w:p w14:paraId="6C3D6E47" w14:textId="77777777" w:rsidR="00613A1F" w:rsidRPr="00AD1F31" w:rsidRDefault="00613A1F" w:rsidP="00613A1F">
                          <w:pPr>
                            <w:ind w:firstLine="720"/>
                            <w:rPr>
                              <w:sz w:val="32"/>
                              <w:szCs w:val="32"/>
                            </w:rPr>
                          </w:pPr>
                          <w:r w:rsidRPr="00AD1F31">
                            <w:rPr>
                              <w:sz w:val="32"/>
                              <w:szCs w:val="32"/>
                            </w:rPr>
                            <w:t>Officer Executive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FAB57" id="_x0000_t202" coordsize="21600,21600" o:spt="202" path="m,l,21600r21600,l21600,xe">
              <v:stroke joinstyle="miter"/>
              <v:path gradientshapeok="t" o:connecttype="rect"/>
            </v:shapetype>
            <v:shape id="_x0000_s1027" type="#_x0000_t202" style="position:absolute;left:0;text-align:left;margin-left:14.45pt;margin-top:45.75pt;width:334.5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" stroked="f">
              <v:textbox>
                <w:txbxContent>
                  <w:p w14:paraId="6C3D6E47" w14:textId="77777777" w:rsidR="00613A1F" w:rsidRPr="00AD1F31" w:rsidRDefault="00613A1F" w:rsidP="00613A1F">
                    <w:pPr>
                      <w:ind w:firstLine="720"/>
                      <w:rPr>
                        <w:sz w:val="32"/>
                        <w:szCs w:val="32"/>
                      </w:rPr>
                    </w:pPr>
                    <w:r w:rsidRPr="00AD1F31">
                      <w:rPr>
                        <w:sz w:val="32"/>
                        <w:szCs w:val="32"/>
                      </w:rPr>
                      <w:t>Officer Executive Decision</w:t>
                    </w:r>
                  </w:p>
                </w:txbxContent>
              </v:textbox>
            </v:shape>
          </w:pict>
        </mc:Fallback>
      </mc:AlternateContent>
    </w:r>
    <w:r>
      <w:rPr>
        <w:noProof/>
      </w:rPr>
      <w:drawing>
        <wp:inline distT="0" distB="0" distL="0" distR="0" wp14:anchorId="3C092083" wp14:editId="45311EF3">
          <wp:extent cx="841375" cy="1116965"/>
          <wp:effectExtent l="0" t="0" r="0" b="6985"/>
          <wp:docPr id="13" name="Picture 1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435D7B"/>
    <w:multiLevelType w:val="multilevel"/>
    <w:tmpl w:val="F9C4653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2270B4"/>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CBE6C20"/>
    <w:multiLevelType w:val="hybridMultilevel"/>
    <w:tmpl w:val="4088035E"/>
    <w:lvl w:ilvl="0" w:tplc="EBB2CAC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8B31DD"/>
    <w:multiLevelType w:val="hybridMultilevel"/>
    <w:tmpl w:val="55FA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8F1F10"/>
    <w:multiLevelType w:val="hybridMultilevel"/>
    <w:tmpl w:val="63EEFEA0"/>
    <w:lvl w:ilvl="0" w:tplc="DC1A6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3C8344E"/>
    <w:multiLevelType w:val="hybridMultilevel"/>
    <w:tmpl w:val="C910E4C2"/>
    <w:lvl w:ilvl="0" w:tplc="D2C44C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002538"/>
    <w:multiLevelType w:val="hybridMultilevel"/>
    <w:tmpl w:val="22743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A3F08A6"/>
    <w:multiLevelType w:val="hybridMultilevel"/>
    <w:tmpl w:val="FBCEC45E"/>
    <w:lvl w:ilvl="0" w:tplc="BB9605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466187"/>
    <w:multiLevelType w:val="hybridMultilevel"/>
    <w:tmpl w:val="B6603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1A3D8E"/>
    <w:multiLevelType w:val="hybridMultilevel"/>
    <w:tmpl w:val="4C248C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7527D30"/>
    <w:multiLevelType w:val="hybridMultilevel"/>
    <w:tmpl w:val="2DD2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D05455"/>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1D4DDE"/>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27A10B2"/>
    <w:multiLevelType w:val="hybridMultilevel"/>
    <w:tmpl w:val="E836FF96"/>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nsid w:val="730B3543"/>
    <w:multiLevelType w:val="hybridMultilevel"/>
    <w:tmpl w:val="F594CBB4"/>
    <w:lvl w:ilvl="0" w:tplc="CAA007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8365C6"/>
    <w:multiLevelType w:val="multilevel"/>
    <w:tmpl w:val="21203358"/>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3"/>
  </w:num>
  <w:num w:numId="2">
    <w:abstractNumId w:val="42"/>
  </w:num>
  <w:num w:numId="3">
    <w:abstractNumId w:val="28"/>
  </w:num>
  <w:num w:numId="4">
    <w:abstractNumId w:val="22"/>
  </w:num>
  <w:num w:numId="5">
    <w:abstractNumId w:val="35"/>
  </w:num>
  <w:num w:numId="6">
    <w:abstractNumId w:val="44"/>
  </w:num>
  <w:num w:numId="7">
    <w:abstractNumId w:val="27"/>
  </w:num>
  <w:num w:numId="8">
    <w:abstractNumId w:val="25"/>
  </w:num>
  <w:num w:numId="9">
    <w:abstractNumId w:val="14"/>
  </w:num>
  <w:num w:numId="10">
    <w:abstractNumId w:val="18"/>
  </w:num>
  <w:num w:numId="11">
    <w:abstractNumId w:val="32"/>
  </w:num>
  <w:num w:numId="12">
    <w:abstractNumId w:val="29"/>
  </w:num>
  <w:num w:numId="13">
    <w:abstractNumId w:val="11"/>
  </w:num>
  <w:num w:numId="14">
    <w:abstractNumId w:val="47"/>
  </w:num>
  <w:num w:numId="15">
    <w:abstractNumId w:val="20"/>
  </w:num>
  <w:num w:numId="16">
    <w:abstractNumId w:val="12"/>
  </w:num>
  <w:num w:numId="17">
    <w:abstractNumId w:val="34"/>
  </w:num>
  <w:num w:numId="18">
    <w:abstractNumId w:val="13"/>
  </w:num>
  <w:num w:numId="19">
    <w:abstractNumId w:val="38"/>
  </w:num>
  <w:num w:numId="20">
    <w:abstractNumId w:val="21"/>
  </w:num>
  <w:num w:numId="21">
    <w:abstractNumId w:val="26"/>
  </w:num>
  <w:num w:numId="22">
    <w:abstractNumId w:val="15"/>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num>
  <w:num w:numId="35">
    <w:abstractNumId w:val="17"/>
  </w:num>
  <w:num w:numId="36">
    <w:abstractNumId w:val="16"/>
  </w:num>
  <w:num w:numId="37">
    <w:abstractNumId w:val="40"/>
  </w:num>
  <w:num w:numId="38">
    <w:abstractNumId w:val="43"/>
  </w:num>
  <w:num w:numId="39">
    <w:abstractNumId w:val="30"/>
  </w:num>
  <w:num w:numId="40">
    <w:abstractNumId w:val="37"/>
  </w:num>
  <w:num w:numId="41">
    <w:abstractNumId w:val="46"/>
  </w:num>
  <w:num w:numId="42">
    <w:abstractNumId w:val="24"/>
  </w:num>
  <w:num w:numId="43">
    <w:abstractNumId w:val="36"/>
  </w:num>
  <w:num w:numId="44">
    <w:abstractNumId w:val="39"/>
  </w:num>
  <w:num w:numId="45">
    <w:abstractNumId w:val="19"/>
  </w:num>
  <w:num w:numId="46">
    <w:abstractNumId w:val="23"/>
  </w:num>
  <w:num w:numId="47">
    <w:abstractNumId w:val="31"/>
  </w:num>
  <w:num w:numId="48">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6924"/>
    <w:rsid w:val="00010082"/>
    <w:rsid w:val="000117D4"/>
    <w:rsid w:val="000173D3"/>
    <w:rsid w:val="00025DCA"/>
    <w:rsid w:val="000314D7"/>
    <w:rsid w:val="00031AB9"/>
    <w:rsid w:val="00045F8B"/>
    <w:rsid w:val="00046D2B"/>
    <w:rsid w:val="0005065A"/>
    <w:rsid w:val="00056263"/>
    <w:rsid w:val="00064D8A"/>
    <w:rsid w:val="00064F82"/>
    <w:rsid w:val="00065E44"/>
    <w:rsid w:val="00066510"/>
    <w:rsid w:val="000667EC"/>
    <w:rsid w:val="00077523"/>
    <w:rsid w:val="000878E8"/>
    <w:rsid w:val="00095CCA"/>
    <w:rsid w:val="000A12E2"/>
    <w:rsid w:val="000C089F"/>
    <w:rsid w:val="000C3928"/>
    <w:rsid w:val="000C5E8E"/>
    <w:rsid w:val="000F2DF6"/>
    <w:rsid w:val="000F4751"/>
    <w:rsid w:val="000F6AD5"/>
    <w:rsid w:val="0010524C"/>
    <w:rsid w:val="0010613C"/>
    <w:rsid w:val="00111FB1"/>
    <w:rsid w:val="00113418"/>
    <w:rsid w:val="001249DF"/>
    <w:rsid w:val="001356F1"/>
    <w:rsid w:val="00136994"/>
    <w:rsid w:val="0014128E"/>
    <w:rsid w:val="00144F4B"/>
    <w:rsid w:val="00146643"/>
    <w:rsid w:val="001500B9"/>
    <w:rsid w:val="00151888"/>
    <w:rsid w:val="00157739"/>
    <w:rsid w:val="00165DED"/>
    <w:rsid w:val="00167902"/>
    <w:rsid w:val="00170A2D"/>
    <w:rsid w:val="001757D4"/>
    <w:rsid w:val="00175AC1"/>
    <w:rsid w:val="001808BC"/>
    <w:rsid w:val="00182B81"/>
    <w:rsid w:val="001853BB"/>
    <w:rsid w:val="0018619D"/>
    <w:rsid w:val="001A011E"/>
    <w:rsid w:val="001A066A"/>
    <w:rsid w:val="001A0710"/>
    <w:rsid w:val="001A13E6"/>
    <w:rsid w:val="001A5731"/>
    <w:rsid w:val="001B42C3"/>
    <w:rsid w:val="001C47D7"/>
    <w:rsid w:val="001C5D5E"/>
    <w:rsid w:val="001D2B6D"/>
    <w:rsid w:val="001D369D"/>
    <w:rsid w:val="001D678D"/>
    <w:rsid w:val="001E0299"/>
    <w:rsid w:val="001E03F8"/>
    <w:rsid w:val="001E052E"/>
    <w:rsid w:val="001E1678"/>
    <w:rsid w:val="001E3376"/>
    <w:rsid w:val="001E3D33"/>
    <w:rsid w:val="001F4388"/>
    <w:rsid w:val="001F47F9"/>
    <w:rsid w:val="00203243"/>
    <w:rsid w:val="002069B3"/>
    <w:rsid w:val="002329CF"/>
    <w:rsid w:val="00232F5B"/>
    <w:rsid w:val="00247C29"/>
    <w:rsid w:val="0025471C"/>
    <w:rsid w:val="00260467"/>
    <w:rsid w:val="00263EA3"/>
    <w:rsid w:val="002640B7"/>
    <w:rsid w:val="00281937"/>
    <w:rsid w:val="00284F85"/>
    <w:rsid w:val="00290915"/>
    <w:rsid w:val="002A22E2"/>
    <w:rsid w:val="002B00E8"/>
    <w:rsid w:val="002B085D"/>
    <w:rsid w:val="002B5084"/>
    <w:rsid w:val="002C64F7"/>
    <w:rsid w:val="002D5217"/>
    <w:rsid w:val="002F1E9E"/>
    <w:rsid w:val="002F41F2"/>
    <w:rsid w:val="00301BF3"/>
    <w:rsid w:val="0030208D"/>
    <w:rsid w:val="00305F91"/>
    <w:rsid w:val="003172AF"/>
    <w:rsid w:val="00323418"/>
    <w:rsid w:val="0032548F"/>
    <w:rsid w:val="00330206"/>
    <w:rsid w:val="003357BF"/>
    <w:rsid w:val="00341542"/>
    <w:rsid w:val="00364FAD"/>
    <w:rsid w:val="0036738F"/>
    <w:rsid w:val="0036759C"/>
    <w:rsid w:val="00367AE5"/>
    <w:rsid w:val="00367D71"/>
    <w:rsid w:val="0037385B"/>
    <w:rsid w:val="00380750"/>
    <w:rsid w:val="0038150A"/>
    <w:rsid w:val="00385E62"/>
    <w:rsid w:val="003B484B"/>
    <w:rsid w:val="003B6E75"/>
    <w:rsid w:val="003B7DA1"/>
    <w:rsid w:val="003C4D7B"/>
    <w:rsid w:val="003D0379"/>
    <w:rsid w:val="003D2574"/>
    <w:rsid w:val="003D4C59"/>
    <w:rsid w:val="003F4267"/>
    <w:rsid w:val="00400CEC"/>
    <w:rsid w:val="00404032"/>
    <w:rsid w:val="004065C4"/>
    <w:rsid w:val="0040736F"/>
    <w:rsid w:val="00412C1F"/>
    <w:rsid w:val="00421CB2"/>
    <w:rsid w:val="004224A4"/>
    <w:rsid w:val="00423A2C"/>
    <w:rsid w:val="004268B9"/>
    <w:rsid w:val="00433B96"/>
    <w:rsid w:val="004358A2"/>
    <w:rsid w:val="00437ABA"/>
    <w:rsid w:val="004440F1"/>
    <w:rsid w:val="004456DD"/>
    <w:rsid w:val="00446CDF"/>
    <w:rsid w:val="004521B7"/>
    <w:rsid w:val="00462AB5"/>
    <w:rsid w:val="00465EAF"/>
    <w:rsid w:val="004671BC"/>
    <w:rsid w:val="004711FC"/>
    <w:rsid w:val="004727E6"/>
    <w:rsid w:val="004738C5"/>
    <w:rsid w:val="00475860"/>
    <w:rsid w:val="00484329"/>
    <w:rsid w:val="00487B27"/>
    <w:rsid w:val="00491046"/>
    <w:rsid w:val="004A2012"/>
    <w:rsid w:val="004A2AC7"/>
    <w:rsid w:val="004A6D2F"/>
    <w:rsid w:val="004C2887"/>
    <w:rsid w:val="004D2626"/>
    <w:rsid w:val="004D6E26"/>
    <w:rsid w:val="004D77D3"/>
    <w:rsid w:val="004E2959"/>
    <w:rsid w:val="004E2D4B"/>
    <w:rsid w:val="004F20EF"/>
    <w:rsid w:val="004F7B39"/>
    <w:rsid w:val="0050321C"/>
    <w:rsid w:val="00503232"/>
    <w:rsid w:val="005177DE"/>
    <w:rsid w:val="00521C4A"/>
    <w:rsid w:val="0052718A"/>
    <w:rsid w:val="005302EC"/>
    <w:rsid w:val="005404AC"/>
    <w:rsid w:val="0054712D"/>
    <w:rsid w:val="00547EF6"/>
    <w:rsid w:val="005570B5"/>
    <w:rsid w:val="00561935"/>
    <w:rsid w:val="005625A3"/>
    <w:rsid w:val="00567E18"/>
    <w:rsid w:val="0057352E"/>
    <w:rsid w:val="00575F5F"/>
    <w:rsid w:val="0058089C"/>
    <w:rsid w:val="00581805"/>
    <w:rsid w:val="00583B9F"/>
    <w:rsid w:val="00585F76"/>
    <w:rsid w:val="00590FC1"/>
    <w:rsid w:val="005A34E4"/>
    <w:rsid w:val="005A3820"/>
    <w:rsid w:val="005B17F2"/>
    <w:rsid w:val="005B7FB0"/>
    <w:rsid w:val="005C35A5"/>
    <w:rsid w:val="005C577C"/>
    <w:rsid w:val="005D0621"/>
    <w:rsid w:val="005D1E27"/>
    <w:rsid w:val="005D2A3E"/>
    <w:rsid w:val="005E022E"/>
    <w:rsid w:val="005E5215"/>
    <w:rsid w:val="005F7F7E"/>
    <w:rsid w:val="00613A1F"/>
    <w:rsid w:val="00614693"/>
    <w:rsid w:val="00623C2F"/>
    <w:rsid w:val="00631B0F"/>
    <w:rsid w:val="00632030"/>
    <w:rsid w:val="00633578"/>
    <w:rsid w:val="00637068"/>
    <w:rsid w:val="006401DA"/>
    <w:rsid w:val="0065080F"/>
    <w:rsid w:val="00650811"/>
    <w:rsid w:val="00653E1D"/>
    <w:rsid w:val="00661D3E"/>
    <w:rsid w:val="006735C0"/>
    <w:rsid w:val="006757A9"/>
    <w:rsid w:val="00687AF7"/>
    <w:rsid w:val="00692627"/>
    <w:rsid w:val="006955A0"/>
    <w:rsid w:val="006969E7"/>
    <w:rsid w:val="006A3643"/>
    <w:rsid w:val="006C153C"/>
    <w:rsid w:val="006C22E3"/>
    <w:rsid w:val="006C2A29"/>
    <w:rsid w:val="006C64CF"/>
    <w:rsid w:val="006D17B1"/>
    <w:rsid w:val="006D4752"/>
    <w:rsid w:val="006D708A"/>
    <w:rsid w:val="006E14C1"/>
    <w:rsid w:val="006F0292"/>
    <w:rsid w:val="006F13A7"/>
    <w:rsid w:val="006F27FA"/>
    <w:rsid w:val="006F416B"/>
    <w:rsid w:val="006F519B"/>
    <w:rsid w:val="006F5224"/>
    <w:rsid w:val="00713675"/>
    <w:rsid w:val="00715823"/>
    <w:rsid w:val="00735CEC"/>
    <w:rsid w:val="00737B93"/>
    <w:rsid w:val="00740585"/>
    <w:rsid w:val="00745BF0"/>
    <w:rsid w:val="0075669F"/>
    <w:rsid w:val="00761325"/>
    <w:rsid w:val="007615FE"/>
    <w:rsid w:val="0076655C"/>
    <w:rsid w:val="007742DC"/>
    <w:rsid w:val="00776068"/>
    <w:rsid w:val="00791437"/>
    <w:rsid w:val="00791B1C"/>
    <w:rsid w:val="007926F5"/>
    <w:rsid w:val="00794DA3"/>
    <w:rsid w:val="007B0C2C"/>
    <w:rsid w:val="007B278E"/>
    <w:rsid w:val="007C0AF1"/>
    <w:rsid w:val="007C5C23"/>
    <w:rsid w:val="007E2A26"/>
    <w:rsid w:val="007E4DE0"/>
    <w:rsid w:val="007F0DA1"/>
    <w:rsid w:val="007F2348"/>
    <w:rsid w:val="007F7E51"/>
    <w:rsid w:val="00803F07"/>
    <w:rsid w:val="0080749A"/>
    <w:rsid w:val="00821CB0"/>
    <w:rsid w:val="00821FB8"/>
    <w:rsid w:val="00822ACD"/>
    <w:rsid w:val="0083292F"/>
    <w:rsid w:val="00852B0E"/>
    <w:rsid w:val="00854402"/>
    <w:rsid w:val="00855C66"/>
    <w:rsid w:val="00871EE4"/>
    <w:rsid w:val="008776E2"/>
    <w:rsid w:val="008875B1"/>
    <w:rsid w:val="0089619B"/>
    <w:rsid w:val="008B293F"/>
    <w:rsid w:val="008B7371"/>
    <w:rsid w:val="008D3DDB"/>
    <w:rsid w:val="008F1E09"/>
    <w:rsid w:val="008F573F"/>
    <w:rsid w:val="008F6B3F"/>
    <w:rsid w:val="009034EC"/>
    <w:rsid w:val="0093067A"/>
    <w:rsid w:val="009356E5"/>
    <w:rsid w:val="00941C60"/>
    <w:rsid w:val="00941FD1"/>
    <w:rsid w:val="00943DB4"/>
    <w:rsid w:val="00966D42"/>
    <w:rsid w:val="00971689"/>
    <w:rsid w:val="00973E90"/>
    <w:rsid w:val="00975B07"/>
    <w:rsid w:val="009773FB"/>
    <w:rsid w:val="00980B4A"/>
    <w:rsid w:val="0099356B"/>
    <w:rsid w:val="009C433A"/>
    <w:rsid w:val="009E3D0A"/>
    <w:rsid w:val="009E51FC"/>
    <w:rsid w:val="009F1D28"/>
    <w:rsid w:val="009F5B53"/>
    <w:rsid w:val="009F7618"/>
    <w:rsid w:val="00A04D23"/>
    <w:rsid w:val="00A06766"/>
    <w:rsid w:val="00A13765"/>
    <w:rsid w:val="00A17C3E"/>
    <w:rsid w:val="00A21B12"/>
    <w:rsid w:val="00A23F80"/>
    <w:rsid w:val="00A26D2C"/>
    <w:rsid w:val="00A334D0"/>
    <w:rsid w:val="00A46E98"/>
    <w:rsid w:val="00A52241"/>
    <w:rsid w:val="00A6352B"/>
    <w:rsid w:val="00A66764"/>
    <w:rsid w:val="00A6686A"/>
    <w:rsid w:val="00A701B5"/>
    <w:rsid w:val="00A714BB"/>
    <w:rsid w:val="00A73C3D"/>
    <w:rsid w:val="00A77147"/>
    <w:rsid w:val="00A82611"/>
    <w:rsid w:val="00A92D8F"/>
    <w:rsid w:val="00A955E7"/>
    <w:rsid w:val="00AB2819"/>
    <w:rsid w:val="00AB2988"/>
    <w:rsid w:val="00AB71CB"/>
    <w:rsid w:val="00AB7999"/>
    <w:rsid w:val="00AD182B"/>
    <w:rsid w:val="00AD1F31"/>
    <w:rsid w:val="00AD3292"/>
    <w:rsid w:val="00AE1B57"/>
    <w:rsid w:val="00AE7AF0"/>
    <w:rsid w:val="00B11888"/>
    <w:rsid w:val="00B25E72"/>
    <w:rsid w:val="00B266A5"/>
    <w:rsid w:val="00B4259B"/>
    <w:rsid w:val="00B500CA"/>
    <w:rsid w:val="00B55294"/>
    <w:rsid w:val="00B845B6"/>
    <w:rsid w:val="00B86314"/>
    <w:rsid w:val="00B914A1"/>
    <w:rsid w:val="00B9167B"/>
    <w:rsid w:val="00B92AFB"/>
    <w:rsid w:val="00BA1C2E"/>
    <w:rsid w:val="00BB2DBD"/>
    <w:rsid w:val="00BB63F9"/>
    <w:rsid w:val="00BC200B"/>
    <w:rsid w:val="00BC4756"/>
    <w:rsid w:val="00BC69A4"/>
    <w:rsid w:val="00BD0299"/>
    <w:rsid w:val="00BD4030"/>
    <w:rsid w:val="00BE0680"/>
    <w:rsid w:val="00BE305F"/>
    <w:rsid w:val="00BE7BA3"/>
    <w:rsid w:val="00BF5682"/>
    <w:rsid w:val="00BF7B09"/>
    <w:rsid w:val="00C0158F"/>
    <w:rsid w:val="00C20A95"/>
    <w:rsid w:val="00C2692F"/>
    <w:rsid w:val="00C3207C"/>
    <w:rsid w:val="00C34D2A"/>
    <w:rsid w:val="00C400E1"/>
    <w:rsid w:val="00C41187"/>
    <w:rsid w:val="00C63C31"/>
    <w:rsid w:val="00C66AB8"/>
    <w:rsid w:val="00C66D6A"/>
    <w:rsid w:val="00C757A0"/>
    <w:rsid w:val="00C760DE"/>
    <w:rsid w:val="00C82630"/>
    <w:rsid w:val="00C85B4E"/>
    <w:rsid w:val="00C85BEE"/>
    <w:rsid w:val="00C907F7"/>
    <w:rsid w:val="00CA2103"/>
    <w:rsid w:val="00CA408D"/>
    <w:rsid w:val="00CB6B99"/>
    <w:rsid w:val="00CC4ED0"/>
    <w:rsid w:val="00CE442D"/>
    <w:rsid w:val="00CE4C87"/>
    <w:rsid w:val="00CE544A"/>
    <w:rsid w:val="00CE64EC"/>
    <w:rsid w:val="00CF5B35"/>
    <w:rsid w:val="00D11E1C"/>
    <w:rsid w:val="00D160B0"/>
    <w:rsid w:val="00D17CB0"/>
    <w:rsid w:val="00D17F94"/>
    <w:rsid w:val="00D223FC"/>
    <w:rsid w:val="00D228D3"/>
    <w:rsid w:val="00D26D1E"/>
    <w:rsid w:val="00D33472"/>
    <w:rsid w:val="00D364D6"/>
    <w:rsid w:val="00D44916"/>
    <w:rsid w:val="00D474CF"/>
    <w:rsid w:val="00D5547E"/>
    <w:rsid w:val="00D75777"/>
    <w:rsid w:val="00D869A1"/>
    <w:rsid w:val="00D959D5"/>
    <w:rsid w:val="00DA413F"/>
    <w:rsid w:val="00DA4584"/>
    <w:rsid w:val="00DA614B"/>
    <w:rsid w:val="00DA7646"/>
    <w:rsid w:val="00DB2D6E"/>
    <w:rsid w:val="00DC3060"/>
    <w:rsid w:val="00DD5B73"/>
    <w:rsid w:val="00DE0FB2"/>
    <w:rsid w:val="00DF093E"/>
    <w:rsid w:val="00DF294B"/>
    <w:rsid w:val="00DF479B"/>
    <w:rsid w:val="00E01F42"/>
    <w:rsid w:val="00E206D6"/>
    <w:rsid w:val="00E3366E"/>
    <w:rsid w:val="00E52086"/>
    <w:rsid w:val="00E543A6"/>
    <w:rsid w:val="00E60479"/>
    <w:rsid w:val="00E61D73"/>
    <w:rsid w:val="00E63939"/>
    <w:rsid w:val="00E64B24"/>
    <w:rsid w:val="00E702E0"/>
    <w:rsid w:val="00E73684"/>
    <w:rsid w:val="00E818D6"/>
    <w:rsid w:val="00E87F7A"/>
    <w:rsid w:val="00E9175C"/>
    <w:rsid w:val="00E926D6"/>
    <w:rsid w:val="00E96BD7"/>
    <w:rsid w:val="00EA0DB1"/>
    <w:rsid w:val="00EA0EE9"/>
    <w:rsid w:val="00EA7344"/>
    <w:rsid w:val="00EB110C"/>
    <w:rsid w:val="00EC7673"/>
    <w:rsid w:val="00ED52CA"/>
    <w:rsid w:val="00ED5860"/>
    <w:rsid w:val="00EE35C9"/>
    <w:rsid w:val="00F05ECA"/>
    <w:rsid w:val="00F14A89"/>
    <w:rsid w:val="00F3566E"/>
    <w:rsid w:val="00F375FB"/>
    <w:rsid w:val="00F41AC1"/>
    <w:rsid w:val="00F42BFE"/>
    <w:rsid w:val="00F4367A"/>
    <w:rsid w:val="00F43E44"/>
    <w:rsid w:val="00F445B1"/>
    <w:rsid w:val="00F45CD4"/>
    <w:rsid w:val="00F5049C"/>
    <w:rsid w:val="00F53AF3"/>
    <w:rsid w:val="00F577F3"/>
    <w:rsid w:val="00F605B4"/>
    <w:rsid w:val="00F61E54"/>
    <w:rsid w:val="00F66DCA"/>
    <w:rsid w:val="00F74F53"/>
    <w:rsid w:val="00F7606D"/>
    <w:rsid w:val="00F81670"/>
    <w:rsid w:val="00F82024"/>
    <w:rsid w:val="00F840BA"/>
    <w:rsid w:val="00F8762E"/>
    <w:rsid w:val="00F945F2"/>
    <w:rsid w:val="00F95BC9"/>
    <w:rsid w:val="00FA624C"/>
    <w:rsid w:val="00FA73E5"/>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BF299"/>
  <w15:docId w15:val="{7C1FC240-E502-45E2-9528-7C35C19A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MediumList2-Accent1">
    <w:name w:val="Medium List 2 Accent 1"/>
    <w:basedOn w:val="TableNormal"/>
    <w:uiPriority w:val="66"/>
    <w:rsid w:val="00A334D0"/>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80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981202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2827780">
      <w:bodyDiv w:val="1"/>
      <w:marLeft w:val="0"/>
      <w:marRight w:val="0"/>
      <w:marTop w:val="0"/>
      <w:marBottom w:val="0"/>
      <w:divBdr>
        <w:top w:val="none" w:sz="0" w:space="0" w:color="auto"/>
        <w:left w:val="none" w:sz="0" w:space="0" w:color="auto"/>
        <w:bottom w:val="none" w:sz="0" w:space="0" w:color="auto"/>
        <w:right w:val="none" w:sz="0" w:space="0" w:color="auto"/>
      </w:divBdr>
    </w:div>
    <w:div w:id="141231430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425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lton@oxford.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5C16-AF11-4E82-AE76-A4F0D69A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B966D6A4</Template>
  <TotalTime>234</TotalTime>
  <Pages>5</Pages>
  <Words>1500</Words>
  <Characters>7661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LUND Emma</cp:lastModifiedBy>
  <cp:revision>8</cp:revision>
  <cp:lastPrinted>2015-07-03T13:50:00Z</cp:lastPrinted>
  <dcterms:created xsi:type="dcterms:W3CDTF">2022-03-18T17:00:00Z</dcterms:created>
  <dcterms:modified xsi:type="dcterms:W3CDTF">2022-03-29T13:27:00Z</dcterms:modified>
</cp:coreProperties>
</file>